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1"/>
        <w:suppressAutoHyphens w:val="true"/>
        <w:jc w:val="left"/>
        <w:rPr>
          <w:sz w:val="26"/>
          <w:szCs w:val="26"/>
        </w:rPr>
      </w:pPr>
      <w:r>
        <w:rPr>
          <w:b w:val="false"/>
          <w:sz w:val="26"/>
          <w:szCs w:val="26"/>
        </w:rPr>
        <w:t>ПРОЕКТ</w:t>
        <w:tab/>
        <w:tab/>
        <w:tab/>
        <w:tab/>
        <w:t xml:space="preserve">      </w:t>
      </w:r>
      <w:bookmarkStart w:id="0" w:name="_GoBack"/>
      <w:bookmarkEnd w:id="0"/>
      <w:r>
        <w:rPr>
          <w:b w:val="false"/>
          <w:sz w:val="26"/>
          <w:szCs w:val="26"/>
        </w:rPr>
        <w:t>ДОГОВОР № ___</w:t>
      </w:r>
    </w:p>
    <w:p>
      <w:pPr>
        <w:pStyle w:val="Normal"/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</w:rPr>
        <w:t>на техническое обслуживание систем видеонаблюдения</w:t>
      </w:r>
    </w:p>
    <w:p>
      <w:pPr>
        <w:pStyle w:val="Normal"/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tru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«___» декабря 2025 года</w:t>
        <w:tab/>
        <w:t xml:space="preserve">                                                                                              г. Гродно</w:t>
      </w:r>
    </w:p>
    <w:p>
      <w:pPr>
        <w:pStyle w:val="BodyText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__________________________________, именуемое в дальнейшем «Подрядчик», в лице __________________________________, действующего на основании __________________________________, с одной стороны, и Гродненское РУП «Фармация» именуемое в дальнейшем «Заказчик», в лице генерального директора Боровика Виталия Григорьевича, действующего на основании Устава, с другой стороны, заключили настоящий договор о нижеследующем:</w:t>
      </w:r>
    </w:p>
    <w:p>
      <w:pPr>
        <w:pStyle w:val="Normal"/>
        <w:numPr>
          <w:ilvl w:val="0"/>
          <w:numId w:val="6"/>
        </w:numPr>
        <w:suppressAutoHyphens w:val="true"/>
        <w:ind w:hanging="0" w:left="0"/>
        <w:jc w:val="center"/>
        <w:rPr>
          <w:sz w:val="26"/>
          <w:szCs w:val="26"/>
        </w:rPr>
      </w:pPr>
      <w:r>
        <w:rPr>
          <w:sz w:val="26"/>
          <w:szCs w:val="26"/>
        </w:rPr>
        <w:t>Предмет договора</w:t>
      </w:r>
    </w:p>
    <w:p>
      <w:pPr>
        <w:pStyle w:val="BodyTextIndent"/>
        <w:numPr>
          <w:ilvl w:val="1"/>
          <w:numId w:val="6"/>
        </w:numPr>
        <w:tabs>
          <w:tab w:val="clear" w:pos="720"/>
          <w:tab w:val="left" w:pos="426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Заказчик поручает, а Подрядчик принимает на себя оказание услуг (выполнение работ) по техническому обслуживанию исправных и работоспособных систем видеонаблюдения на объектах Заказчика </w:t>
      </w:r>
      <w:r>
        <w:rPr>
          <w:sz w:val="26"/>
          <w:szCs w:val="26"/>
          <w:lang w:val="ru-RU"/>
        </w:rPr>
        <w:t xml:space="preserve">в Гродненской области </w:t>
      </w:r>
      <w:r>
        <w:rPr>
          <w:sz w:val="26"/>
          <w:szCs w:val="26"/>
        </w:rPr>
        <w:t>согласно Приложени</w:t>
      </w:r>
      <w:r>
        <w:rPr>
          <w:sz w:val="26"/>
          <w:szCs w:val="26"/>
          <w:lang w:val="ru-RU"/>
        </w:rPr>
        <w:t>я</w:t>
      </w:r>
      <w:r>
        <w:rPr>
          <w:sz w:val="26"/>
          <w:szCs w:val="26"/>
        </w:rPr>
        <w:t xml:space="preserve"> № 1.</w:t>
      </w:r>
    </w:p>
    <w:p>
      <w:pPr>
        <w:pStyle w:val="BodyTextIndent"/>
        <w:numPr>
          <w:ilvl w:val="1"/>
          <w:numId w:val="6"/>
        </w:numPr>
        <w:tabs>
          <w:tab w:val="clear" w:pos="720"/>
          <w:tab w:val="left" w:pos="426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Услуги включают в себя:</w:t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- осуществление Подрядчиком технического надзора за правильным содержанием и организацией эксплуатации СВН на объектах Заказчика;</w:t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- осуществление Подрядчиком плановых регламентных работ по техническому обслуживанию, необходимых для поддержания работоспособного состояния СВН на объектах Заказчика в процессе их эксплуатации, проводятся в соответствии с руководящим документом ТКП 472-2013(02010);</w:t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- устранение неисправностей СВН по вызову Заказчика;</w:t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- проверка и корректировка настроек систем СВН в соответствии с требованиями Заказчика;</w:t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- инструктаж и обучение должностных лиц и работников организации мерам пожарной безопасности и работе с системой видеонаблюдения;</w:t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- проверка работоспособности источников бесперебойного питания, при необходимости их ремонт и замена аккумуляторных батарей;</w:t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- осуществление контроля за соответствием СВН на объектах Заказчика техническим требованиям, изложенным в Постановлении Совета министров Республики Беларусь от 11.12.2012г. №1135.</w:t>
      </w:r>
    </w:p>
    <w:p>
      <w:pPr>
        <w:pStyle w:val="Normal"/>
        <w:numPr>
          <w:ilvl w:val="0"/>
          <w:numId w:val="6"/>
        </w:numPr>
        <w:suppressAutoHyphens w:val="true"/>
        <w:ind w:hanging="0" w:left="0"/>
        <w:jc w:val="center"/>
        <w:rPr>
          <w:sz w:val="26"/>
          <w:szCs w:val="26"/>
        </w:rPr>
      </w:pPr>
      <w:r>
        <w:rPr>
          <w:sz w:val="26"/>
          <w:szCs w:val="26"/>
        </w:rPr>
        <w:t>Порядок выполнения работ (оказания услуг)</w:t>
      </w:r>
    </w:p>
    <w:p>
      <w:pPr>
        <w:pStyle w:val="BodyTextIndent"/>
        <w:numPr>
          <w:ilvl w:val="1"/>
          <w:numId w:val="6"/>
        </w:numPr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Услуги осуществляются Подрядчиком с</w:t>
      </w:r>
      <w:r>
        <w:rPr>
          <w:sz w:val="26"/>
          <w:szCs w:val="26"/>
          <w:lang w:val="ru-RU"/>
        </w:rPr>
        <w:t xml:space="preserve"> «01» января 2026 года </w:t>
      </w:r>
      <w:r>
        <w:rPr>
          <w:sz w:val="26"/>
          <w:szCs w:val="26"/>
        </w:rPr>
        <w:t>в соответствии с прилагаемыми графиками проведения ТО, согласованными с Заказчиком.</w:t>
      </w:r>
    </w:p>
    <w:p>
      <w:pPr>
        <w:pStyle w:val="BodyTextIndent"/>
        <w:numPr>
          <w:ilvl w:val="1"/>
          <w:numId w:val="6"/>
        </w:numPr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Период </w:t>
      </w:r>
      <w:r>
        <w:rPr>
          <w:sz w:val="26"/>
          <w:szCs w:val="26"/>
          <w:lang w:val="ru-RU" w:eastAsia="ru-RU"/>
        </w:rPr>
        <w:t>выполнения работ на каждом объекте Заказчика не менее 1 раза в месяц.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426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Заказчик обеспечивает безопасные условия и свободный доступ к электропроводке и оборудованию для проведения Подрядчиком их осмотра, ТО на высоте и в других труднодоступных местах.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426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По окончании выполнения работ (оказания услуг) Заказчик подтверждает их выполнение и принимает СВН для дальнейшей эксплуатации, о чем производится запись в Журналах регистрации работ и удостоверяется подписями ответственных лиц Заказчика и Подрядчика.</w:t>
      </w:r>
    </w:p>
    <w:p>
      <w:pPr>
        <w:pStyle w:val="Normal"/>
        <w:numPr>
          <w:ilvl w:val="0"/>
          <w:numId w:val="6"/>
        </w:numPr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</w:rPr>
        <w:t>Права и обязанности сторон.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26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Подрядчик имеет право:</w:t>
      </w:r>
    </w:p>
    <w:p>
      <w:pPr>
        <w:pStyle w:val="Normal"/>
        <w:numPr>
          <w:ilvl w:val="1"/>
          <w:numId w:val="5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Прекратить ТО в случае невыполнения Заказчиком условий настоящего договора или по результатам периодического технического освидетельствования СВН и расторгнуть настоящий договор, предварительно сообщив об этом Заказчику.</w:t>
      </w:r>
    </w:p>
    <w:p>
      <w:pPr>
        <w:pStyle w:val="Normal"/>
        <w:tabs>
          <w:tab w:val="clear" w:pos="720"/>
          <w:tab w:val="left" w:pos="567" w:leader="none"/>
        </w:tabs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3.1.2 Переносить по согласованию с Заказчиком сроки оказания услуг (выполнения работ).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26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Подрядчик обязуется: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567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Выполнять ТО и Р в соответствии с п. 1.2 и п. 2.2 настоящего договора и в сроки, установленные настоящим договором.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567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Обеспечивать прибытие на обслуживаемый объект по вызову Заказчика в течение не более 24 (двадцати четырех) часов, без учета выходных и праздничных дней.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567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работы по ТО и Р в соответствии с требованиями к качеству согласно всех действующих нормативных правовых актов, а в случае выявления Заказчиком недостатков – безвозмездно устранить их в срок не более 3 (трех) рабочих дней со дня получения информации от Заказчика о выявленных недостатках.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567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Проводить ТО и Р персоналом соответствующей квалификации, аттестованным по «ПТЭ и ПТБ при эксплуатации электроустановок потребителей» в присутствии ответственных лиц Заказчика.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567" w:leader="none"/>
        </w:tabs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>Соблюдать внутриобъектовый режим, правила техники безопасности, пожарной безопасности, действующие на объектах Заказчика.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26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Заказчик имеет право: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Контролировать фактический объем и качество работ (услуг), выполненных (оказанных) Подрядчика.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Переносить по согласованию с Подрядчиком сроки выполнения работ (оказания услуг) ТО и Р.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 случае невыполнения Подрядчиком п. 3.2 настоящего договора Заказчик вправе задержать оплату за выполненные работы (оказанные услуги) и сообщить о нарушении условий договора Подрядчику.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26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Заказчик обязуется: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Правильно эксплуатировать СВН согласно переданной Подрядчиком информации об эксплуатации, а также несет ответственность за правильную эксплуатацию СВН.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 случае возникновения неисправностей в работе СВН на объекте Заказчика незамедлительно информировать об этом Подрядчика по контактным телефонам, указанным в п. 6 настоящего договора.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Уведомлять в письменной форме Подрядчика о проведении ремонта и (или) переоборудовании помещений, в которых установлены СВН за 10 (десять) календарных дней до начала проведения ремонта и (или) переоборудования помещений.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приемку оказанных услуг (выполненных работ) по ТО и Р, подтверждая это подписью в журналах регистрации работ по ТО и Р.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Оповестить Исполнителя в первый рабочий день нового месяца об изменениях списка объектов в связи с установкой новых систем видеонаблюдения либо модернизации старых.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7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Оплатить оказанные услуги (выполненные работы) согласно предоставленным Подрядчиком актам выполненных работ (оказанных услуг) в срок, установленный настоящим договором.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26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процессе исполнения настоящего договора стороны несут ответственность в соответствии с действующим законодательством Республики Беларусь.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26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При неисполнении либо ненадлежащем исполнении принятых на себя обязательств стороны несут ответственность в соответствии с действующим законодательством РБ.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426" w:leader="none"/>
        </w:tabs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</w:rPr>
        <w:t>Ответственность сторон</w:t>
      </w:r>
    </w:p>
    <w:p>
      <w:pPr>
        <w:pStyle w:val="Normal"/>
        <w:numPr>
          <w:ilvl w:val="1"/>
          <w:numId w:val="6"/>
        </w:numPr>
        <w:tabs>
          <w:tab w:val="clear" w:pos="720"/>
        </w:tabs>
        <w:suppressAutoHyphens w:val="true"/>
        <w:ind w:firstLine="6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 несет ответственность за некачественное выполнение работ по настоящему договору. В случае некачественного выполнения работ Исполнителем, он устраняет недостатки без дополнительной оплаты. </w:t>
      </w:r>
    </w:p>
    <w:p>
      <w:pPr>
        <w:pStyle w:val="Normal"/>
        <w:numPr>
          <w:ilvl w:val="1"/>
          <w:numId w:val="6"/>
        </w:numPr>
        <w:tabs>
          <w:tab w:val="clear" w:pos="720"/>
        </w:tabs>
        <w:suppressAutoHyphens w:val="true"/>
        <w:ind w:firstLine="6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 не несет ответственности за неквалифицированные действия персонала Заказчика. </w:t>
      </w:r>
    </w:p>
    <w:p>
      <w:pPr>
        <w:pStyle w:val="Normal"/>
        <w:numPr>
          <w:ilvl w:val="1"/>
          <w:numId w:val="6"/>
        </w:numPr>
        <w:tabs>
          <w:tab w:val="clear" w:pos="720"/>
        </w:tabs>
        <w:suppressAutoHyphens w:val="true"/>
        <w:ind w:firstLine="6" w:left="0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 несет ответственность за переданную ему для выполнения работ технику, комплектующие и материалы в размере их стоимости.</w:t>
      </w:r>
    </w:p>
    <w:p>
      <w:pPr>
        <w:pStyle w:val="Normal"/>
        <w:numPr>
          <w:ilvl w:val="1"/>
          <w:numId w:val="6"/>
        </w:numPr>
        <w:tabs>
          <w:tab w:val="clear" w:pos="720"/>
        </w:tabs>
        <w:suppressAutoHyphens w:val="true"/>
        <w:ind w:firstLine="6" w:left="0"/>
        <w:jc w:val="both"/>
        <w:rPr>
          <w:sz w:val="26"/>
          <w:szCs w:val="26"/>
        </w:rPr>
      </w:pPr>
      <w:r>
        <w:rPr>
          <w:sz w:val="26"/>
          <w:szCs w:val="26"/>
        </w:rPr>
        <w:t>За невыполнение обязательств по настоящему Договору Исполнитель и Заказчик несут материальную ответственность в соответствии с действующим законодательством.</w:t>
      </w:r>
    </w:p>
    <w:p>
      <w:pPr>
        <w:pStyle w:val="Normal"/>
        <w:numPr>
          <w:ilvl w:val="1"/>
          <w:numId w:val="6"/>
        </w:numPr>
        <w:tabs>
          <w:tab w:val="clear" w:pos="720"/>
        </w:tabs>
        <w:suppressAutoHyphens w:val="true"/>
        <w:ind w:firstLine="6" w:left="0"/>
        <w:jc w:val="both"/>
        <w:rPr>
          <w:sz w:val="26"/>
          <w:szCs w:val="26"/>
        </w:rPr>
      </w:pPr>
      <w:r>
        <w:rPr>
          <w:sz w:val="26"/>
          <w:szCs w:val="26"/>
        </w:rPr>
        <w:t>В случае нарушения сроков выполнения работ Заказчик имеет право требовать от Исполнителя уплаты пени в размере 0,15% от стоимости работ за каждый день просрочки исполнения обязательства, но не более 20% от стоимости работ.</w:t>
      </w:r>
    </w:p>
    <w:p>
      <w:pPr>
        <w:pStyle w:val="Normal"/>
        <w:numPr>
          <w:ilvl w:val="1"/>
          <w:numId w:val="6"/>
        </w:numPr>
        <w:tabs>
          <w:tab w:val="clear" w:pos="720"/>
        </w:tabs>
        <w:suppressAutoHyphens w:val="true"/>
        <w:ind w:firstLine="6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выявления Заказчиком ненадлежащего качества выполненных работ Исполнитель уплачивает Заказчику штраф в размере 20% от стоимости выполненных работ. При не устранении недостатков в срок указанный в п.3.2.3, настоящего договора Исполнитель уплачивает пеню в размере 0,15% от стоимости невыполненных работ за каждый день просрочки. </w:t>
      </w:r>
    </w:p>
    <w:p>
      <w:pPr>
        <w:pStyle w:val="Normal"/>
        <w:numPr>
          <w:ilvl w:val="1"/>
          <w:numId w:val="6"/>
        </w:numPr>
        <w:tabs>
          <w:tab w:val="clear" w:pos="720"/>
        </w:tabs>
        <w:suppressAutoHyphens w:val="true"/>
        <w:ind w:firstLine="6" w:left="0"/>
        <w:jc w:val="both"/>
        <w:rPr>
          <w:sz w:val="26"/>
          <w:szCs w:val="26"/>
        </w:rPr>
      </w:pPr>
      <w:r>
        <w:rPr>
          <w:sz w:val="26"/>
          <w:szCs w:val="26"/>
        </w:rPr>
        <w:t>В случае неисполнения Заказчиком п.4.5, настоящего договора в течение 1 (одного) календарного месяца, Исполнитель вправе приостановить выполнение работ, и возобновить их после погашения просроченной оплаты Заказчиком.</w:t>
      </w:r>
    </w:p>
    <w:p>
      <w:pPr>
        <w:pStyle w:val="Normal"/>
        <w:numPr>
          <w:ilvl w:val="0"/>
          <w:numId w:val="6"/>
        </w:numPr>
        <w:suppressAutoHyphens w:val="true"/>
        <w:ind w:hanging="0" w:left="0"/>
        <w:jc w:val="center"/>
        <w:rPr>
          <w:sz w:val="26"/>
          <w:szCs w:val="26"/>
        </w:rPr>
      </w:pPr>
      <w:r>
        <w:rPr>
          <w:sz w:val="26"/>
          <w:szCs w:val="26"/>
        </w:rPr>
        <w:t>Стоимость выполнения работ (оказания услуг) и порядок расчетов</w:t>
      </w:r>
    </w:p>
    <w:p>
      <w:pPr>
        <w:pStyle w:val="BodyTextIndent"/>
        <w:numPr>
          <w:ilvl w:val="1"/>
          <w:numId w:val="7"/>
        </w:numPr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Стоимость ТО СВН Заказчика на момент составления договора определяется согласно прилагаемому расчету стоимости услуг по ТО СВН и составляет </w:t>
      </w:r>
      <w:r>
        <w:rPr>
          <w:sz w:val="26"/>
          <w:szCs w:val="26"/>
          <w:lang w:val="ru-RU"/>
        </w:rPr>
        <w:t>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руб. ___ коп. с НДС ежемесячно (на 2026 год составляет ______ руб. ___ коп. с НДС).</w:t>
      </w:r>
    </w:p>
    <w:p>
      <w:pPr>
        <w:pStyle w:val="BodyTextIndent"/>
        <w:tabs>
          <w:tab w:val="clear" w:pos="720"/>
          <w:tab w:val="left" w:pos="426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5.2</w:t>
        <w:tab/>
      </w:r>
      <w:r>
        <w:rPr>
          <w:sz w:val="26"/>
          <w:szCs w:val="26"/>
        </w:rPr>
        <w:t>Изменение стоимости услуг по ТО в процессе выполнения обязательств Подрядчиком возможно в случаях:</w:t>
      </w:r>
    </w:p>
    <w:p>
      <w:pPr>
        <w:pStyle w:val="BodyTextIndent"/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5</w:t>
      </w:r>
      <w:r>
        <w:rPr>
          <w:sz w:val="26"/>
          <w:szCs w:val="26"/>
        </w:rPr>
        <w:t>.2.1 в связи с изменениями в действующем законодательстве Республики Беларусь РБ;</w:t>
      </w:r>
    </w:p>
    <w:p>
      <w:pPr>
        <w:pStyle w:val="BodyTextIndent"/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5</w:t>
      </w:r>
      <w:r>
        <w:rPr>
          <w:sz w:val="26"/>
          <w:szCs w:val="26"/>
        </w:rPr>
        <w:t>.2.2 по согласованию сторон и/или при изменении количества единиц установленного оборудования путем подписания сторонами дополнительного соглашения к настоящему договору и новых расчетов стоимости услуг по ТО и Р СВН.</w:t>
      </w:r>
    </w:p>
    <w:p>
      <w:pPr>
        <w:pStyle w:val="BodyTextIndent"/>
        <w:tabs>
          <w:tab w:val="clear" w:pos="720"/>
          <w:tab w:val="left" w:pos="426" w:leader="none"/>
        </w:tabs>
        <w:suppressAutoHyphens w:val="true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5.3 </w:t>
      </w:r>
      <w:r>
        <w:rPr>
          <w:sz w:val="26"/>
          <w:szCs w:val="26"/>
        </w:rPr>
        <w:t>Необходимость ремонтных работ подтверждается актом, составленным представителями Заказчика и Подрядчика. Стоимость работ по ремонту СВН согласуется сторонами и отражается в актах сдачи-приемки выполненных работ по ремонту СВН. Стоимость материалов и запасных частей, используемых при проведении ремонтных работ, учитывается по факту и оплачивается Заказчиком на основании представленных Подрядчиком документов.</w:t>
      </w:r>
    </w:p>
    <w:p>
      <w:pPr>
        <w:pStyle w:val="BodyTextIndent"/>
        <w:numPr>
          <w:ilvl w:val="1"/>
          <w:numId w:val="8"/>
        </w:numPr>
        <w:suppressAutoHyphens w:val="true"/>
        <w:ind w:hanging="0" w:left="0"/>
        <w:jc w:val="both"/>
        <w:rPr>
          <w:sz w:val="26"/>
          <w:szCs w:val="26"/>
        </w:rPr>
      </w:pPr>
      <w:r>
        <w:rPr>
          <w:rStyle w:val="FontStyle11"/>
          <w:sz w:val="26"/>
          <w:szCs w:val="26"/>
        </w:rPr>
        <w:t>Подрядчик предоставляет Заказчику акты</w:t>
      </w:r>
      <w:r>
        <w:rPr>
          <w:sz w:val="26"/>
          <w:szCs w:val="26"/>
        </w:rPr>
        <w:t xml:space="preserve"> оказанных </w:t>
      </w:r>
      <w:r>
        <w:rPr>
          <w:rStyle w:val="FontStyle11"/>
          <w:sz w:val="26"/>
          <w:szCs w:val="26"/>
        </w:rPr>
        <w:t xml:space="preserve">услуг (выполненных работ) </w:t>
      </w:r>
      <w:r>
        <w:rPr>
          <w:sz w:val="26"/>
          <w:szCs w:val="26"/>
        </w:rPr>
        <w:t xml:space="preserve">по ТО и Р СВН </w:t>
      </w:r>
      <w:r>
        <w:rPr>
          <w:rStyle w:val="FontStyle11"/>
          <w:sz w:val="26"/>
          <w:szCs w:val="26"/>
        </w:rPr>
        <w:t>для оплаты за отчетный период, а Заказчик обязуется их оплатить в течение 30 банковских дней со дня подписания актов</w: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5.5 Оплата выполненных работ производится Заказчиком на основании актов сдачи-приемки выполненных работ в течение 30 банковских дней с даты подписания Заказчиком путем безналичного расчета на расчетный счет Исполнителя.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jc w:val="both"/>
        <w:rPr>
          <w:sz w:val="26"/>
          <w:szCs w:val="26"/>
        </w:rPr>
      </w:pPr>
      <w:r>
        <w:rPr>
          <w:bCs/>
          <w:sz w:val="26"/>
          <w:szCs w:val="26"/>
        </w:rPr>
        <w:t>5.6 Источник финансирования – собственные средства.</w:t>
      </w:r>
    </w:p>
    <w:p>
      <w:pPr>
        <w:pStyle w:val="Normal"/>
        <w:suppressAutoHyphens w:val="true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6.</w:t>
      </w:r>
      <w:r>
        <w:rPr>
          <w:sz w:val="26"/>
          <w:szCs w:val="26"/>
        </w:rPr>
        <w:t>Срок действия договора и прочие условия</w:t>
      </w:r>
    </w:p>
    <w:p>
      <w:pPr>
        <w:pStyle w:val="Normal"/>
        <w:numPr>
          <w:ilvl w:val="1"/>
          <w:numId w:val="9"/>
        </w:numPr>
        <w:suppressAutoHyphens w:val="true"/>
        <w:ind w:hanging="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вступает в силу с даты подписания, распространяет свое действие на отношения, возникшие у Сторон с «01» января 2026 года и действует по «31» декабря 2026 года. 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6.2 Настоящий договор может быть расторгнут по требованию одной из сторон, о чем другая сторона должна быть предупреждена не позднее, чем за 30 (тридцать) дней до расторжения, с обязательным указанием мотива расторжения.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6.3 Все споры или разногласия, которые могут возникнуть из настоящего договора, стороны разрешают путем переговоров, а в случае невозможности разрешения – подлежат рассмотрению в Экономическом суде Гродненской области в порядке, установленном действующим законодательством Республики Беларусь.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6.4 Об изменении местонахождения, почтовых и банковских реквизитов, а также обо всех происшедших реорганизациях стороны обязаны уведомить друг друга незамедлительно.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  <w:t>6.5 Во всем остальном, что не предусмотрено настоящим договором, стороны руководствуются действующим законодательством Республики Беларусь.</w:t>
      </w:r>
    </w:p>
    <w:p>
      <w:pPr>
        <w:pStyle w:val="Normal"/>
        <w:suppressAutoHyphens w:val="tru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7</w:t>
      </w:r>
      <w:r>
        <w:rPr>
          <w:sz w:val="26"/>
          <w:szCs w:val="26"/>
        </w:rPr>
        <w:t>. Юридические адреса сторон</w:t>
      </w:r>
    </w:p>
    <w:p>
      <w:pPr>
        <w:pStyle w:val="Normal"/>
        <w:suppressAutoHyphens w:val="true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458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20"/>
        <w:gridCol w:w="4819"/>
        <w:gridCol w:w="4819"/>
      </w:tblGrid>
      <w:tr>
        <w:trPr>
          <w:trHeight w:val="4995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sz w:val="24"/>
                <w:szCs w:val="24"/>
              </w:rPr>
              <w:t>ПОДРЯДЧИК</w:t>
            </w:r>
          </w:p>
          <w:p>
            <w:pPr>
              <w:pStyle w:val="Normal"/>
              <w:suppressAutoHyphens w:val="tru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uppressAutoHyphens w:val="true"/>
              <w:ind w:right="-57"/>
              <w:rPr/>
            </w:pPr>
            <w:r>
              <w:rPr>
                <w:b/>
                <w:sz w:val="24"/>
                <w:szCs w:val="24"/>
              </w:rPr>
              <w:t>ЗАКАЗЧИК</w:t>
            </w:r>
          </w:p>
          <w:p>
            <w:pPr>
              <w:pStyle w:val="Normal"/>
              <w:suppressAutoHyphens w:val="true"/>
              <w:ind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ind w:right="-57"/>
              <w:jc w:val="both"/>
              <w:rPr/>
            </w:pPr>
            <w:r>
              <w:rPr>
                <w:sz w:val="24"/>
                <w:szCs w:val="24"/>
              </w:rPr>
              <w:t>Гродненское РУП «Фармация»</w:t>
            </w:r>
          </w:p>
          <w:p>
            <w:pPr>
              <w:pStyle w:val="Normal"/>
              <w:suppressAutoHyphens w:val="true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ind w:right="-57"/>
              <w:jc w:val="both"/>
              <w:rPr/>
            </w:pPr>
            <w:r>
              <w:rPr>
                <w:sz w:val="24"/>
                <w:szCs w:val="24"/>
              </w:rPr>
              <w:t>230023 г.Гродно ул.Ожешко,11</w:t>
            </w:r>
          </w:p>
          <w:p>
            <w:pPr>
              <w:pStyle w:val="Normal"/>
              <w:suppressAutoHyphens w:val="true"/>
              <w:ind w:right="-57"/>
              <w:jc w:val="both"/>
              <w:rPr/>
            </w:pPr>
            <w:r>
              <w:rPr>
                <w:sz w:val="24"/>
                <w:szCs w:val="24"/>
              </w:rPr>
              <w:t>УНП 807000028, МФО 153001739</w:t>
            </w:r>
          </w:p>
          <w:p>
            <w:pPr>
              <w:pStyle w:val="Normal"/>
              <w:suppressAutoHyphens w:val="true"/>
              <w:ind w:right="-57"/>
              <w:jc w:val="both"/>
              <w:rPr/>
            </w:pPr>
            <w:r>
              <w:rPr>
                <w:sz w:val="24"/>
                <w:szCs w:val="24"/>
              </w:rPr>
              <w:t>ОКПО 02 013 509, УНП 500 059 690</w:t>
            </w:r>
          </w:p>
          <w:p>
            <w:pPr>
              <w:pStyle w:val="Normal"/>
              <w:suppressAutoHyphens w:val="true"/>
              <w:ind w:right="-57"/>
              <w:jc w:val="both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Р/с BY81BLBB30120500059690001001</w:t>
            </w:r>
          </w:p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Дирекция ОАО Белинвестбанк по Гродненской области, код </w:t>
            </w:r>
            <w:r>
              <w:rPr>
                <w:sz w:val="24"/>
                <w:szCs w:val="24"/>
                <w:lang w:val="en-US"/>
              </w:rPr>
              <w:t>BLBBBY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X</w:t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>г.Гродно, ул.Советских Пограничников, 92</w:t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>Генеральный</w:t>
            </w:r>
          </w:p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                                    Лепешко М.Л.</w:t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/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31"/>
        <w:suppressAutoHyphens w:val="true"/>
        <w:ind w:firstLine="284"/>
        <w:rPr>
          <w:b/>
        </w:rPr>
      </w:pPr>
      <w:r>
        <w:rPr>
          <w:b/>
        </w:rPr>
      </w:r>
    </w:p>
    <w:p>
      <w:pPr>
        <w:pStyle w:val="31"/>
        <w:suppressAutoHyphens w:val="true"/>
        <w:ind w:firstLine="284"/>
        <w:rPr>
          <w:b/>
        </w:rPr>
      </w:pPr>
      <w:r>
        <w:rPr>
          <w:b/>
        </w:rPr>
      </w:r>
    </w:p>
    <w:p>
      <w:pPr>
        <w:pStyle w:val="31"/>
        <w:suppressAutoHyphens w:val="true"/>
        <w:ind w:firstLine="284"/>
        <w:rPr>
          <w:b/>
        </w:rPr>
      </w:pPr>
      <w:r>
        <w:rPr>
          <w:b/>
        </w:rPr>
      </w:r>
    </w:p>
    <w:p>
      <w:pPr>
        <w:pStyle w:val="31"/>
        <w:suppressAutoHyphens w:val="true"/>
        <w:ind w:firstLine="284"/>
        <w:rPr>
          <w:b/>
        </w:rPr>
      </w:pPr>
      <w:r>
        <w:rPr>
          <w:b/>
        </w:rPr>
      </w:r>
    </w:p>
    <w:p>
      <w:pPr>
        <w:pStyle w:val="31"/>
        <w:suppressAutoHyphens w:val="true"/>
        <w:ind w:firstLine="284"/>
        <w:rPr>
          <w:b/>
        </w:rPr>
      </w:pPr>
      <w:r>
        <w:rPr>
          <w:b/>
        </w:rPr>
      </w:r>
      <w:r>
        <w:br w:type="page"/>
      </w:r>
    </w:p>
    <w:p>
      <w:pPr>
        <w:pStyle w:val="31"/>
        <w:suppressAutoHyphens w:val="true"/>
        <w:spacing w:before="0" w:after="120"/>
        <w:ind w:firstLine="284"/>
        <w:rPr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</w:t>
      </w:r>
      <w:r>
        <w:rPr/>
        <w:t>Приложение № 1</w:t>
      </w:r>
    </w:p>
    <w:p>
      <w:pPr>
        <w:pStyle w:val="31"/>
        <w:suppressAutoHyphens w:val="true"/>
        <w:ind w:firstLine="284"/>
        <w:rPr/>
      </w:pPr>
      <w:r>
        <w:rPr/>
        <w:t xml:space="preserve">                                                                                                                                                                          </w:t>
      </w:r>
      <w:r>
        <w:rPr/>
        <w:t>к договору № ____</w:t>
      </w:r>
    </w:p>
    <w:p>
      <w:pPr>
        <w:pStyle w:val="31"/>
        <w:suppressAutoHyphens w:val="true"/>
        <w:ind w:firstLine="284"/>
        <w:rPr/>
      </w:pPr>
      <w:r>
        <w:rPr/>
        <w:t xml:space="preserve">                                                                                                                                                                          </w:t>
      </w:r>
      <w:r>
        <w:rPr/>
        <w:t>«___» декабря 2025 года</w:t>
      </w:r>
    </w:p>
    <w:p>
      <w:pPr>
        <w:pStyle w:val="Normal"/>
        <w:suppressAutoHyphens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f2"/>
        <w:tblW w:w="10167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8"/>
        <w:gridCol w:w="1576"/>
        <w:gridCol w:w="3787"/>
        <w:gridCol w:w="726"/>
        <w:gridCol w:w="989"/>
        <w:gridCol w:w="999"/>
        <w:gridCol w:w="705"/>
        <w:gridCol w:w="975"/>
      </w:tblGrid>
      <w:tr>
        <w:trPr>
          <w:trHeight w:val="20" w:hRule="atLeast"/>
        </w:trPr>
        <w:tc>
          <w:tcPr>
            <w:tcW w:w="408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4" w:right="-15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bidi="ar-SA"/>
              </w:rPr>
              <w:t>п. п.</w:t>
            </w:r>
          </w:p>
        </w:tc>
        <w:tc>
          <w:tcPr>
            <w:tcW w:w="1576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66" w:right="-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bidi="ar-SA"/>
              </w:rPr>
              <w:t>Номер структурного подразделения</w:t>
            </w:r>
          </w:p>
        </w:tc>
        <w:tc>
          <w:tcPr>
            <w:tcW w:w="3787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7" w:right="-10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bidi="ar-SA"/>
              </w:rPr>
              <w:t>Адрес структурного подразделения</w:t>
            </w:r>
          </w:p>
        </w:tc>
        <w:tc>
          <w:tcPr>
            <w:tcW w:w="4394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81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bidi="ar-SA"/>
              </w:rPr>
              <w:t>Наличие оборудования</w:t>
            </w:r>
          </w:p>
        </w:tc>
      </w:tr>
      <w:tr>
        <w:trPr>
          <w:trHeight w:val="20" w:hRule="atLeast"/>
        </w:trPr>
        <w:tc>
          <w:tcPr>
            <w:tcW w:w="408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4" w:right="-15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</w:r>
          </w:p>
        </w:tc>
        <w:tc>
          <w:tcPr>
            <w:tcW w:w="1576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</w:r>
          </w:p>
        </w:tc>
        <w:tc>
          <w:tcPr>
            <w:tcW w:w="3787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bidi="ar-SA"/>
              </w:rPr>
              <w:t>Количество камер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bidi="ar-SA"/>
              </w:rPr>
              <w:t>Монитор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bidi="ar-SA"/>
              </w:rPr>
              <w:t>Колонки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bidi="ar-SA"/>
              </w:rPr>
              <w:t>Видеорегистратор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bidi="ar-SA"/>
              </w:rPr>
              <w:t>Источник бесперебойного питания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t>1</w:t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г.Лида, ул.Пролыгина,1-42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=A3+1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2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г.Волковыск, ул.Жолудева,40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=A4+1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3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г.Щучин, ул.Первомайская,2а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=A5+1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4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г.п.Берестовица, ул.Гагарина,5Б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=A6+1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5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г.п.Зельва, ул.Пушкина,62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=A7+1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6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г.Мосты, ул.Советская,48-9А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=A8+1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7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11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г.Свислочь, ул.Красноармейская,36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=A9+1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8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г.п.Радунь, ул.Советская,100А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=A10+1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9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16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г.п.Вороново, ул.Советская,97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=A11+1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10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аг.Лунно, ул.Комсомольская,16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=A12+1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11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35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г.п.Россь, ул.К.Маркса,3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=A13+1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12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40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аг.Волпа, ул.Мира,15-2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=A14+1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13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41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аг.Куриловичи, ул.Мира,65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=A15+1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14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61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г.Слоним, пл.Ленина,3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=A16+1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15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65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г.п.Кореличи, ул.Притыцкого,6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=A17+1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16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82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г.п.Красносельский, ул.Школьная,2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=A18+1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17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95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г.Островец, пер.Октябрьский,9,пом.1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=A19+1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18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г.Сморгонь, ул.Советская,16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=A20+1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19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108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г.Слоним, ул.Ф.Скорины,7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=A21+1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20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115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г.Лида, ул.Мицкевича,25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=A22+1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21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118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аг.Дубно, ул.40 лет БССР, 6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=A23+1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22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129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г.Слоним, ул.Черняховского,1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=A24+1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23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130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г.Лида, ул.Кирова,11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=A25+1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24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139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г.Лида, ул.Черняховского,2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=A26+1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25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146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г.Лида, ул.Крупской,7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val="en-US" w:bidi="ar-SA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val="en-US" w:bidi="ar-SA"/>
              </w:rPr>
              <w:t>8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=A27+1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26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154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г.Мосты, пр.Мира,2А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=A28+1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27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161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г.Лида, б-р князя Гедимина,4-54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=A29+1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28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163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г.Лида, ул.Ленинская,6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=A30+1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29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166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г.Лида, ул.Летная,4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=A31+1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30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176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г.Волковыск, ул.Советская,13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=A32+1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31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198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г.Свислочь, ул.1</w:t>
            </w:r>
            <w:bookmarkStart w:id="1" w:name="_GoBack_Копия_1"/>
            <w:bookmarkEnd w:id="1"/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7 Сентября,12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=A33+1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32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225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г.Волковыск, ул.Октябрьская,55, п.68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=A34+1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33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202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г.Щучин, ул.Ленина,44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=A35+1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34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58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г.п.Мир, пл.17 Сентября,5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=A36+1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35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162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 Волковысск, ул.Горбатова,4-49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=A37+1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36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239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г.Березовка, ул.Школьная,36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=A38+1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37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136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г.Волковыск, ул.Социалистическая,2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=A39+1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38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137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bidi="ar-SA"/>
              </w:rPr>
              <w:t>г.Щучин, ул.Мичурина,22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=A40+1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39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53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г.Сморгонь, ул.Советская, 6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=A41+1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40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г.Сморгонь, ул.Заводская,52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=A42+1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41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193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г.Сморгонь, б-р Надежд,71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=A43+1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42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bidi="ar-SA"/>
              </w:rPr>
              <w:t>185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bidi="ar-SA"/>
              </w:rPr>
              <w:t>г. Ошмяны, ул. Юбилейная 9/11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=A44+1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43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132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г.Слоним, ул.Войкова, 51А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=A45+1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44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164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г.Лида, ул.Гагарина, 27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=A46+1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45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0"/>
                <w:szCs w:val="20"/>
                <w:lang w:val="en-US" w:bidi="ar-SA"/>
              </w:rPr>
              <w:t>235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г.Волковыск, ул.Первомайская, 8-49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=A47+1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46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155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г.Волковыск, ул.Ленина, 57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hd w:fill="auto" w:val="clear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=A48+1</w:instrText>
            </w:r>
            <w:r>
              <w:rPr>
                <w:sz w:val="20"/>
                <w:kern w:val="0"/>
                <w:shd w:fill="auto" w:val="clear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hd w:fill="auto" w:val="clear"/>
                <w:szCs w:val="20"/>
                <w:rFonts w:eastAsia="Times New Roman" w:cs="Times New Roman"/>
                <w:color w:val="000000"/>
                <w:lang w:val="en-US" w:bidi="ar-SA"/>
              </w:rPr>
              <w:t>47</w:t>
            </w:r>
            <w:r>
              <w:rPr>
                <w:sz w:val="20"/>
                <w:kern w:val="0"/>
                <w:shd w:fill="auto" w:val="clear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г.Волковыск, ул.Горбатова,1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shd w:fill="auto" w:val="clear"/>
                <w:lang w:bidi="ar-SA"/>
              </w:rPr>
              <w:fldChar w:fldCharType="begin"/>
            </w:r>
            <w:r>
              <w:rPr>
                <w:sz w:val="20"/>
                <w:kern w:val="0"/>
                <w:shd w:fill="auto" w:val="clear"/>
                <w:szCs w:val="22"/>
                <w:rFonts w:eastAsia="Calibri" w:cs="Calibri" w:ascii="Calibri" w:hAnsi="Calibri"/>
                <w:lang w:bidi="ar-SA"/>
              </w:rPr>
              <w:instrText xml:space="preserve"> =A49+1</w:instrText>
            </w:r>
            <w:r>
              <w:rPr>
                <w:sz w:val="20"/>
                <w:kern w:val="0"/>
                <w:shd w:fill="auto" w:val="clear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hd w:fill="auto" w:val="clear"/>
                <w:szCs w:val="22"/>
                <w:rFonts w:eastAsia="Calibri" w:cs="Calibri" w:ascii="Calibri" w:hAnsi="Calibri"/>
                <w:lang w:bidi="ar-SA"/>
              </w:rPr>
              <w:t>48</w:t>
            </w:r>
            <w:r>
              <w:rPr>
                <w:sz w:val="20"/>
                <w:kern w:val="0"/>
                <w:shd w:fill="auto" w:val="clear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187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 Лида, ул. Труханова, 25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hd w:fill="auto" w:val="clear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=A50+1</w:instrText>
            </w:r>
            <w:r>
              <w:rPr>
                <w:sz w:val="20"/>
                <w:kern w:val="0"/>
                <w:shd w:fill="auto" w:val="clear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hd w:fill="auto" w:val="clear"/>
                <w:szCs w:val="20"/>
                <w:rFonts w:eastAsia="Times New Roman" w:cs="Times New Roman"/>
                <w:color w:val="000000"/>
                <w:lang w:val="en-US" w:bidi="ar-SA"/>
              </w:rPr>
              <w:t>49</w:t>
            </w:r>
            <w:r>
              <w:rPr>
                <w:sz w:val="20"/>
                <w:kern w:val="0"/>
                <w:shd w:fill="auto" w:val="clear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47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г.Лида, ул.Красноармейская,63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shd w:fill="auto" w:val="clear"/>
                <w:lang w:bidi="ar-SA"/>
              </w:rPr>
              <w:fldChar w:fldCharType="begin"/>
            </w:r>
            <w:r>
              <w:rPr>
                <w:sz w:val="20"/>
                <w:kern w:val="0"/>
                <w:shd w:fill="auto" w:val="clear"/>
                <w:szCs w:val="22"/>
                <w:rFonts w:eastAsia="Calibri" w:cs="Calibri" w:ascii="Calibri" w:hAnsi="Calibri"/>
                <w:lang w:bidi="ar-SA"/>
              </w:rPr>
              <w:instrText xml:space="preserve"> =A51+1</w:instrText>
            </w:r>
            <w:r>
              <w:rPr>
                <w:sz w:val="20"/>
                <w:kern w:val="0"/>
                <w:shd w:fill="auto" w:val="clear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hd w:fill="auto" w:val="clear"/>
                <w:szCs w:val="22"/>
                <w:rFonts w:eastAsia="Calibri" w:cs="Calibri" w:ascii="Calibri" w:hAnsi="Calibri"/>
                <w:lang w:bidi="ar-SA"/>
              </w:rPr>
              <w:t>50</w:t>
            </w:r>
            <w:r>
              <w:rPr>
                <w:sz w:val="20"/>
                <w:kern w:val="0"/>
                <w:shd w:fill="auto" w:val="clear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233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г.Лида, ул.Кирова, 19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=A52+1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51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227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г.Слоним, ул.Ершова, 58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t>52</w:t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73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г.Березовка, ул.Новогрудская,8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=(A54)+1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53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92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г.Слоним, ул.Коссовский тракт,98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=(A55)+1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54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51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г.Лида, ул.Машерова,12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=(A56)+1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55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54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г.Слоним, ул. Войкова, 36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=(A57)+1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56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156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г.Ивье, ул.К.Маркса,73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=(A58)+1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57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142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г.п.Вороново, ул.Советская, 71Б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=(A59)+1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58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138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г.Новогрудок, ул.Ломоносова, 4А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=(A60)+1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59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232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г.Островец, ул.Короткевича, 4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=(A61)+1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60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243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г.Щучин, ул.Советская, 19-2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=(A62)+1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61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г.п.Желудок, ул.Советская,13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=(A63)+1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62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13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г.п.Острино, ул.Гродненская, 42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=(A64)+1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63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197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г.п.Большая Берестовица, ул.Дзержинского, 2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=(A65)+1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64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224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51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г.Волковыск, ул.Софьи Панковой, 57А-1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=(A66)+1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65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151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г.п.Большая Берестовица, ул.Ленина, 10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05" w:right="-114"/>
              <w:jc w:val="center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=(A67)+1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66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148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г.Мосты, ул.Советская, 55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=(A68)+1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67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182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 Свислочь, ул, 17 Сентября, 3/4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=(A69)+1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68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173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г.Новогрудок, ул.Франциска Скорины, 2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=(A70)+1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69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168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г.п.Зельва, пер.Больничный, 5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=(A71)+1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70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206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onsolas" w:hAnsi="Consolas"/>
                <w:color w:val="000000"/>
                <w:kern w:val="0"/>
                <w:sz w:val="18"/>
                <w:szCs w:val="22"/>
                <w:shd w:fill="auto" w:val="clear"/>
                <w:lang w:bidi="ar-SA"/>
              </w:rPr>
              <w:t>г.п. Зельва, ул. 17 Сентября, 31 пом.14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=(A72)+1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71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167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г.п.Вороново, ул.Юбилейная, 47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=(A73)+1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72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г.п.Вороново, ул.Советская, 64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=(A74)+1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73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аг.Бенякони, ул.Виленская, 94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=(A75)+1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74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254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г.Слоним, ул.Брестская, 81Б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=(A76)+1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75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184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г.п.Вороново, ул.Советская, 31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=(A77)+1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76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45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г.Сморгонь, ул.Юбилейная, 14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=(A78)+1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77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216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г.Сморгонь, пер.Больничный, 13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=(A79)+1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78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211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г.Ошмяны, ул.Советская, 126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=(A80)+1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79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226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г.Ошмяны, ул.Первомайская, 3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=(A81)+1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80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181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г.п. Кореличи, ул. 8-е Марта, 60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1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=(A82)+1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81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209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г.п. Кореличи, ул. Гастелло, 21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3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=(A83)+1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82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140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г.п. Россь, ул. 8 Марта, 12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=(A84)+1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83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270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 Волковыск, ул. Жолудева, 26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=(A85)+1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84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246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 Лида, ул. Фомичева, 4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0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2"/>
                <w:lang w:bidi="ar-SA"/>
              </w:rPr>
              <w:fldChar w:fldCharType="begin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instrText xml:space="preserve"> =(A86)+1</w:instrTex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separate"/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t>85</w:t>
            </w:r>
            <w:r>
              <w:rPr>
                <w:sz w:val="20"/>
                <w:kern w:val="0"/>
                <w:szCs w:val="22"/>
                <w:rFonts w:eastAsia="Calibri" w:cs="Calibri" w:ascii="Calibri" w:hAnsi="Calibri"/>
                <w:lang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44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 Лида, ул. Рыбиновского, 24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223" w:hRule="atLeast"/>
        </w:trPr>
        <w:tc>
          <w:tcPr>
            <w:tcW w:w="4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bidi="ar-SA"/>
              </w:rPr>
              <w:fldChar w:fldCharType="begin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instrText xml:space="preserve"> =(A87)+1</w:instrTex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separate"/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t>86</w:t>
            </w:r>
            <w:r>
              <w:rPr>
                <w:sz w:val="20"/>
                <w:kern w:val="0"/>
                <w:szCs w:val="20"/>
                <w:rFonts w:eastAsia="Times New Roman" w:cs="Times New Roman"/>
                <w:color w:val="000000"/>
                <w:lang w:val="en-US" w:bidi="ar-SA"/>
              </w:rPr>
              <w:fldChar w:fldCharType="end"/>
            </w:r>
          </w:p>
        </w:tc>
        <w:tc>
          <w:tcPr>
            <w:tcW w:w="15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bidi="ar-SA"/>
              </w:rPr>
              <w:t xml:space="preserve">Аптека № </w:t>
            </w: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bidi="ar-SA"/>
              </w:rPr>
              <w:t>179</w:t>
            </w:r>
          </w:p>
        </w:tc>
        <w:tc>
          <w:tcPr>
            <w:tcW w:w="37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г. Дятлово, ул. Победы, 2</w:t>
            </w:r>
          </w:p>
        </w:tc>
        <w:tc>
          <w:tcPr>
            <w:tcW w:w="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2"/>
                <w:lang w:bidi="ar-SA"/>
              </w:rPr>
              <w:t>2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Нет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Да</w:t>
            </w:r>
          </w:p>
        </w:tc>
      </w:tr>
      <w:tr>
        <w:trPr>
          <w:trHeight w:val="194" w:hRule="atLeast"/>
        </w:trPr>
        <w:tc>
          <w:tcPr>
            <w:tcW w:w="40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val="ru-RU"/>
              </w:rPr>
              <w:t>87</w:t>
            </w:r>
          </w:p>
        </w:tc>
        <w:tc>
          <w:tcPr>
            <w:tcW w:w="1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Аптека №</w:t>
            </w:r>
            <w:r>
              <w:rPr>
                <w:b/>
                <w:bCs/>
              </w:rPr>
              <w:t xml:space="preserve"> 143</w:t>
            </w:r>
          </w:p>
        </w:tc>
        <w:tc>
          <w:tcPr>
            <w:tcW w:w="378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г.Лида, ул.Советская, 25-1</w:t>
            </w:r>
          </w:p>
        </w:tc>
        <w:tc>
          <w:tcPr>
            <w:tcW w:w="72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8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szCs w:val="20"/>
              </w:rPr>
              <w:t>Да</w:t>
            </w:r>
          </w:p>
        </w:tc>
        <w:tc>
          <w:tcPr>
            <w:tcW w:w="9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70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szCs w:val="20"/>
              </w:rPr>
              <w:t>Да</w:t>
            </w:r>
          </w:p>
        </w:tc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szCs w:val="20"/>
              </w:rPr>
              <w:t>Да</w:t>
            </w:r>
          </w:p>
        </w:tc>
      </w:tr>
      <w:tr>
        <w:trPr>
          <w:trHeight w:val="194" w:hRule="atLeast"/>
        </w:trPr>
        <w:tc>
          <w:tcPr>
            <w:tcW w:w="40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ind w:left="-114" w:right="-154"/>
              <w:jc w:val="center"/>
              <w:rPr>
                <w:rFonts w:ascii="Times New Roman" w:hAnsi="Times New Roman" w:eastAsia="Times New Roman" w:cs="Times New Roman"/>
                <w:color w:val="00000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0"/>
                <w:lang w:val="en-US"/>
              </w:rPr>
              <w:t>88</w:t>
            </w:r>
          </w:p>
        </w:tc>
        <w:tc>
          <w:tcPr>
            <w:tcW w:w="15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3" w:right="-74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Аптека №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245</w:t>
            </w:r>
          </w:p>
        </w:tc>
        <w:tc>
          <w:tcPr>
            <w:tcW w:w="378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9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г. Волковыск, ул. Горбатова,3В</w:t>
            </w:r>
          </w:p>
        </w:tc>
        <w:tc>
          <w:tcPr>
            <w:tcW w:w="72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98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szCs w:val="20"/>
              </w:rPr>
              <w:t>Да</w:t>
            </w:r>
          </w:p>
        </w:tc>
        <w:tc>
          <w:tcPr>
            <w:tcW w:w="9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szCs w:val="20"/>
              </w:rPr>
              <w:t>Нет</w:t>
            </w:r>
          </w:p>
        </w:tc>
        <w:tc>
          <w:tcPr>
            <w:tcW w:w="70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szCs w:val="20"/>
              </w:rPr>
              <w:t>Да</w:t>
            </w:r>
          </w:p>
        </w:tc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05" w:right="-114"/>
              <w:jc w:val="center"/>
              <w:rPr>
                <w:rFonts w:ascii="Calibri" w:hAnsi="Calibri" w:eastAsia="Calibri" w:cs="Calibri"/>
                <w:kern w:val="0"/>
                <w:sz w:val="20"/>
                <w:szCs w:val="22"/>
                <w:lang w:bidi="ar-SA"/>
              </w:rPr>
            </w:pPr>
            <w:r>
              <w:rPr>
                <w:rFonts w:eastAsia="Times New Roman" w:cs="Times New Roman"/>
                <w:szCs w:val="20"/>
              </w:rPr>
              <w:t>Да</w:t>
            </w:r>
          </w:p>
        </w:tc>
      </w:tr>
    </w:tbl>
    <w:p>
      <w:pPr>
        <w:pStyle w:val="Normal"/>
        <w:suppressAutoHyphens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true"/>
        <w:jc w:val="both"/>
        <w:rPr/>
      </w:pPr>
      <w:r>
        <w:rPr>
          <w:b/>
          <w:sz w:val="24"/>
          <w:szCs w:val="24"/>
        </w:rPr>
        <w:t xml:space="preserve">ПОДРЯДЧИК            </w:t>
        <w:tab/>
        <w:tab/>
        <w:tab/>
        <w:t xml:space="preserve">                            ЗАКАЗЧИК</w:t>
      </w:r>
    </w:p>
    <w:p>
      <w:pPr>
        <w:pStyle w:val="Normal"/>
        <w:suppressAutoHyphens w:val="true"/>
        <w:ind w:right="-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true"/>
        <w:ind w:firstLine="720" w:left="720" w:right="-57"/>
        <w:jc w:val="both"/>
        <w:rPr/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  <w:tab/>
        <w:tab/>
        <w:tab/>
        <w:tab/>
        <w:t xml:space="preserve">    Генеральный</w:t>
      </w:r>
    </w:p>
    <w:p>
      <w:pPr>
        <w:pStyle w:val="Normal"/>
        <w:suppressAutoHyphens w:val="true"/>
        <w:ind w:right="-57"/>
        <w:jc w:val="both"/>
        <w:rPr/>
      </w:pPr>
      <w:r>
        <w:rPr>
          <w:sz w:val="24"/>
          <w:szCs w:val="24"/>
        </w:rPr>
        <w:t xml:space="preserve">_________                   _________                                             директор                            Лепешко М.Л.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567" w:gutter="0" w:header="851" w:top="908" w:footer="720" w:bottom="777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Book Antiqua">
    <w:charset w:val="cc"/>
    <w:family w:val="roman"/>
    <w:pitch w:val="variable"/>
  </w:font>
  <w:font w:name="Britannic Bold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nsolas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Footer"/>
      <w:tabs>
        <w:tab w:val="clear" w:pos="4677"/>
        <w:tab w:val="clear" w:pos="9355"/>
        <w:tab w:val="left" w:pos="5904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rIns="720" t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248.55pt;margin-top:0.05pt;width:5.9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4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  <w:szCs w:val="24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4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Book Antiqua" w:hAnsi="Book Antiqua" w:cs="Book Antiqua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Book Antiqua" w:hAnsi="Book Antiqua" w:cs="Book Antiqu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4"/>
        <w:b w:val="false"/>
        <w:szCs w:val="24"/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Book Antiqua" w:hAnsi="Book Antiqua" w:cs="Book Antiqu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Book Antiqua" w:hAnsi="Book Antiqua" w:cs="Book Antiqu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Book Antiqua" w:hAnsi="Book Antiqua" w:cs="Book Antiqu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Book Antiqua" w:hAnsi="Book Antiqua" w:cs="Book Antiqu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Book Antiqua" w:hAnsi="Book Antiqua" w:cs="Book Antiqu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Book Antiqua" w:hAnsi="Book Antiqua" w:cs="Book Antiqua"/>
      </w:rPr>
    </w:lvl>
  </w:abstractNum>
  <w:abstractNum w:abstractNumId="3">
    <w:lvl w:ilvl="0">
      <w:start w:val="1"/>
      <w:numFmt w:val="decimal"/>
      <w:lvlText w:val="3.4.%1"/>
      <w:lvlJc w:val="left"/>
      <w:pPr>
        <w:tabs>
          <w:tab w:val="num" w:pos="420"/>
        </w:tabs>
        <w:ind w:left="420" w:hanging="0"/>
      </w:pPr>
      <w:rPr>
        <w:sz w:val="24"/>
        <w:i w:val="false"/>
        <w:b w:val="false"/>
        <w:szCs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3.3.%1"/>
      <w:lvlJc w:val="left"/>
      <w:pPr>
        <w:tabs>
          <w:tab w:val="num" w:pos="420"/>
        </w:tabs>
        <w:ind w:left="420" w:hanging="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3.%1"/>
      <w:lvlJc w:val="left"/>
      <w:pPr>
        <w:tabs>
          <w:tab w:val="num" w:pos="1080"/>
        </w:tabs>
        <w:ind w:left="1080" w:hanging="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decimal"/>
      <w:lvlText w:val="3.%2.1"/>
      <w:lvlJc w:val="left"/>
      <w:pPr>
        <w:tabs>
          <w:tab w:val="num" w:pos="1080"/>
        </w:tabs>
        <w:ind w:left="1080" w:hanging="0"/>
      </w:pPr>
      <w:rPr>
        <w:sz w:val="24"/>
        <w:b w:val="false"/>
        <w:szCs w:val="24"/>
        <w:rFonts w:ascii="Times New Roman" w:hAnsi="Times New Roman" w:cs="Times New Roman"/>
      </w:rPr>
    </w:lvl>
    <w:lvl w:ilvl="2">
      <w:start w:val="1"/>
      <w:numFmt w:val="decimal"/>
      <w:lvlText w:val="3.%3.2"/>
      <w:lvlJc w:val="left"/>
      <w:pPr>
        <w:tabs>
          <w:tab w:val="num" w:pos="1980"/>
        </w:tabs>
        <w:ind w:left="1980" w:hanging="0"/>
      </w:pPr>
      <w:rPr>
        <w:rFonts w:ascii="Britannic Bold" w:hAnsi="Britannic Bold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b w:val="false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sz w:val="24"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/>
    </w:lvl>
  </w:abstractNum>
  <w:abstractNum w:abstractNumId="7"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sz w:val="24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Book Antiqua" w:hAnsi="Book Antiqua" w:cs="Book Antiqua"/>
    </w:rPr>
  </w:style>
  <w:style w:type="character" w:styleId="WW8Num2z2" w:customStyle="1">
    <w:name w:val="WW8Num2z2"/>
    <w:qFormat/>
    <w:rPr>
      <w:rFonts w:ascii="Times New Roman" w:hAnsi="Times New Roman" w:cs="Times New Roman"/>
      <w:b w:val="false"/>
      <w:sz w:val="24"/>
      <w:szCs w:val="24"/>
    </w:rPr>
  </w:style>
  <w:style w:type="character" w:styleId="WW8Num3z0" w:customStyle="1">
    <w:name w:val="WW8Num3z0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4z0" w:customStyle="1">
    <w:name w:val="WW8Num4z0"/>
    <w:qFormat/>
    <w:rPr>
      <w:rFonts w:ascii="Times New Roman" w:hAnsi="Times New Roman" w:cs="Times New Roman"/>
      <w:sz w:val="24"/>
      <w:szCs w:val="24"/>
    </w:rPr>
  </w:style>
  <w:style w:type="character" w:styleId="WW8Num5z0" w:customStyle="1">
    <w:name w:val="WW8Num5z0"/>
    <w:qFormat/>
    <w:rPr>
      <w:rFonts w:ascii="Times New Roman" w:hAnsi="Times New Roman" w:cs="Times New Roman"/>
      <w:sz w:val="24"/>
      <w:szCs w:val="24"/>
    </w:rPr>
  </w:style>
  <w:style w:type="character" w:styleId="WW8Num6z0" w:customStyle="1">
    <w:name w:val="WW8Num6z0"/>
    <w:qFormat/>
    <w:rPr>
      <w:rFonts w:ascii="Times New Roman" w:hAnsi="Times New Roman" w:cs="Times New Roman"/>
      <w:sz w:val="24"/>
      <w:szCs w:val="24"/>
    </w:rPr>
  </w:style>
  <w:style w:type="character" w:styleId="WW8Num6z1" w:customStyle="1">
    <w:name w:val="WW8Num6z1"/>
    <w:qFormat/>
    <w:rPr>
      <w:rFonts w:ascii="Times New Roman" w:hAnsi="Times New Roman" w:cs="Times New Roman"/>
      <w:b w:val="false"/>
      <w:sz w:val="24"/>
      <w:szCs w:val="24"/>
    </w:rPr>
  </w:style>
  <w:style w:type="character" w:styleId="WW8Num6z2" w:customStyle="1">
    <w:name w:val="WW8Num6z2"/>
    <w:qFormat/>
    <w:rPr>
      <w:rFonts w:ascii="Britannic Bold" w:hAnsi="Britannic Bold" w:cs="Times New Roman"/>
    </w:rPr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Times New Roman" w:hAnsi="Times New Roman" w:cs="Times New Roman"/>
      <w:b w:val="false"/>
      <w:bCs/>
      <w:sz w:val="24"/>
      <w:szCs w:val="24"/>
      <w:lang w:val="ru-RU"/>
    </w:rPr>
  </w:style>
  <w:style w:type="character" w:styleId="WW8Num8z0" w:customStyle="1">
    <w:name w:val="WW8Num8z0"/>
    <w:qFormat/>
    <w:rPr>
      <w:b w:val="false"/>
      <w:sz w:val="24"/>
      <w:szCs w:val="24"/>
    </w:rPr>
  </w:style>
  <w:style w:type="character" w:styleId="WW8Num8z1" w:customStyle="1">
    <w:name w:val="WW8Num8z1"/>
    <w:qFormat/>
    <w:rPr>
      <w:rFonts w:ascii="Times New Roman" w:hAnsi="Times New Roman" w:cs="Times New Roman"/>
      <w:sz w:val="24"/>
      <w:szCs w:val="24"/>
    </w:rPr>
  </w:style>
  <w:style w:type="character" w:styleId="WW8Num8z2" w:customStyle="1">
    <w:name w:val="WW8Num8z2"/>
    <w:qFormat/>
    <w:rPr/>
  </w:style>
  <w:style w:type="character" w:styleId="WW8Num3z1" w:customStyle="1">
    <w:name w:val="WW8Num3z1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Times New Roman" w:hAnsi="Times New Roman" w:cs="Times New Roman"/>
      <w:sz w:val="24"/>
      <w:szCs w:val="24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Times New Roman" w:hAnsi="Times New Roman" w:cs="Times New Roman"/>
      <w:sz w:val="24"/>
      <w:szCs w:val="24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Britannic Bold" w:hAnsi="Britannic Bold" w:cs="Britannic Bold"/>
      <w:b w:val="false"/>
      <w:i w:val="false"/>
      <w:sz w:val="21"/>
      <w:szCs w:val="21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Times New Roman" w:hAnsi="Times New Roman" w:cs="Times New Roman"/>
      <w:sz w:val="24"/>
      <w:szCs w:val="24"/>
    </w:rPr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4"/>
      <w:szCs w:val="24"/>
    </w:rPr>
  </w:style>
  <w:style w:type="character" w:styleId="WW8Num14z2" w:customStyle="1">
    <w:name w:val="WW8Num14z2"/>
    <w:qFormat/>
    <w:rPr>
      <w:rFonts w:ascii="Britannic Bold" w:hAnsi="Britannic Bold" w:cs="Times New Roman"/>
    </w:rPr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Times New Roman" w:hAnsi="Times New Roman" w:cs="Times New Roman"/>
      <w:b w:val="false"/>
      <w:bCs/>
      <w:sz w:val="24"/>
      <w:szCs w:val="24"/>
      <w:lang w:val="ru-RU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Britannic Bold" w:hAnsi="Britannic Bold" w:cs="Times New Roman"/>
    </w:rPr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b w:val="false"/>
      <w:sz w:val="24"/>
      <w:szCs w:val="24"/>
    </w:rPr>
  </w:style>
  <w:style w:type="character" w:styleId="WW8Num17z1" w:customStyle="1">
    <w:name w:val="WW8Num17z1"/>
    <w:qFormat/>
    <w:rPr>
      <w:rFonts w:ascii="Times New Roman" w:hAnsi="Times New Roman" w:cs="Times New Roman"/>
      <w:sz w:val="24"/>
      <w:szCs w:val="24"/>
    </w:rPr>
  </w:style>
  <w:style w:type="character" w:styleId="WW8Num17z2" w:customStyle="1">
    <w:name w:val="WW8Num17z2"/>
    <w:qFormat/>
    <w:rPr/>
  </w:style>
  <w:style w:type="character" w:styleId="WW8Num18z0" w:customStyle="1">
    <w:name w:val="WW8Num18z0"/>
    <w:qFormat/>
    <w:rPr>
      <w:rFonts w:ascii="Britannic Bold" w:hAnsi="Britannic Bold" w:cs="Times New Roman"/>
    </w:rPr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1" w:customStyle="1">
    <w:name w:val="Основной шрифт абзаца1"/>
    <w:qFormat/>
    <w:rPr/>
  </w:style>
  <w:style w:type="character" w:styleId="PageNumber">
    <w:name w:val="page number"/>
    <w:basedOn w:val="1"/>
    <w:qFormat/>
    <w:rPr/>
  </w:style>
  <w:style w:type="character" w:styleId="FontStyle11" w:customStyle="1">
    <w:name w:val="Font Style11"/>
    <w:qFormat/>
    <w:rPr>
      <w:rFonts w:ascii="Times New Roman" w:hAnsi="Times New Roman" w:cs="Times New Roman"/>
      <w:sz w:val="22"/>
      <w:szCs w:val="22"/>
    </w:rPr>
  </w:style>
  <w:style w:type="character" w:styleId="Style13" w:customStyle="1">
    <w:name w:val="Основной текст с отступом Знак"/>
    <w:qFormat/>
    <w:rPr>
      <w:sz w:val="24"/>
    </w:rPr>
  </w:style>
  <w:style w:type="character" w:styleId="3" w:customStyle="1">
    <w:name w:val="Основной текст 3 Знак"/>
    <w:qFormat/>
    <w:rPr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11" w:customStyle="1">
    <w:name w:val="Заголовок1"/>
    <w:basedOn w:val="Normal"/>
    <w:next w:val="BodyText"/>
    <w:qFormat/>
    <w:pPr>
      <w:jc w:val="center"/>
    </w:pPr>
    <w:rPr>
      <w:b/>
      <w:sz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360"/>
    </w:pPr>
    <w:rPr>
      <w:sz w:val="24"/>
      <w:lang w:val="x-none"/>
    </w:rPr>
  </w:style>
  <w:style w:type="paragraph" w:styleId="21" w:customStyle="1">
    <w:name w:val="Основной текст с отступом 21"/>
    <w:basedOn w:val="Normal"/>
    <w:qFormat/>
    <w:pPr>
      <w:ind w:left="360"/>
    </w:pPr>
    <w:rPr>
      <w:b/>
      <w:sz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6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7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31" w:customStyle="1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Style22" w:customStyle="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5031" w:leader="none"/>
        <w:tab w:val="right" w:pos="10063" w:leader="none"/>
      </w:tabs>
    </w:pPr>
    <w:rPr/>
  </w:style>
  <w:style w:type="paragraph" w:styleId="user3">
    <w:name w:val="Содержимое врезки (user)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b25b5d"/>
    <w:rPr>
      <w:lang w:val="ru-RU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9B8CF-01B8-4A50-9253-58446287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LibreOffice/25.2.7.2$Windows_X86_64 LibreOffice_project/5cbfd1ab6520636bb5f7b99185aa69bd7456825d</Application>
  <AppVersion>15.0000</AppVersion>
  <Pages>6</Pages>
  <Words>2372</Words>
  <Characters>13124</Characters>
  <CharactersWithSpaces>15473</CharactersWithSpaces>
  <Paragraphs>797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2023-01-11T10:44:00Z</dcterms:created>
  <dc:creator>Reanimator 99 CD</dc:creator>
  <dc:description/>
  <dc:language>ru-RU</dc:language>
  <cp:lastModifiedBy/>
  <cp:lastPrinted>2023-01-11T10:44:00Z</cp:lastPrinted>
  <dcterms:modified xsi:type="dcterms:W3CDTF">2025-12-24T09:21:43Z</dcterms:modified>
  <cp:revision>17</cp:revision>
  <dc:subject/>
  <dc:title>Д О Г О В О Р   № 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