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ind w:firstLine="5940"/>
        <w:rPr>
          <w:spacing w:val="-6"/>
        </w:rPr>
      </w:pPr>
      <w:r>
        <w:rPr>
          <w:spacing w:val="-6"/>
        </w:rPr>
        <w:t>«УТВЕРЖДАЮ»</w:t>
      </w:r>
    </w:p>
    <w:p>
      <w:pPr>
        <w:pStyle w:val="Normal"/>
        <w:shd w:val="clear" w:color="auto" w:fill="FFFFFF"/>
        <w:ind w:left="5940" w:hanging="0"/>
        <w:rPr/>
      </w:pPr>
      <w:r>
        <w:rPr>
          <w:spacing w:val="-7"/>
        </w:rPr>
        <w:t>Заместитель генерального директора</w:t>
      </w:r>
    </w:p>
    <w:p>
      <w:pPr>
        <w:pStyle w:val="Normal"/>
        <w:shd w:val="clear" w:color="auto" w:fill="FFFFFF"/>
        <w:tabs>
          <w:tab w:val="clear" w:pos="709"/>
          <w:tab w:val="left" w:pos="6600" w:leader="none"/>
          <w:tab w:val="right" w:pos="9355" w:leader="none"/>
        </w:tabs>
        <w:ind w:firstLine="5940"/>
        <w:rPr>
          <w:spacing w:val="-7"/>
        </w:rPr>
      </w:pPr>
      <w:r>
        <w:rPr>
          <w:spacing w:val="-7"/>
        </w:rPr>
        <w:t>Гродненского РУП «Фармация»</w:t>
      </w:r>
    </w:p>
    <w:p>
      <w:pPr>
        <w:pStyle w:val="Normal"/>
        <w:ind w:left="5940" w:hanging="0"/>
        <w:rPr/>
      </w:pPr>
      <w:r>
        <w:rPr/>
        <w:t>__________________Т.А.Зарецкая</w:t>
      </w:r>
    </w:p>
    <w:p>
      <w:pPr>
        <w:pStyle w:val="Normal"/>
        <w:ind w:left="5940" w:hanging="0"/>
        <w:rPr/>
      </w:pPr>
      <w:r>
        <w:rPr>
          <w:sz w:val="26"/>
          <w:szCs w:val="26"/>
        </w:rPr>
        <w:t>«___»__________________20__г.</w:t>
      </w:r>
    </w:p>
    <w:p>
      <w:pPr>
        <w:pStyle w:val="Normal"/>
        <w:shd w:val="clear" w:color="auto" w:fill="FFFFFF"/>
        <w:ind w:right="134" w:hanging="0"/>
        <w:rPr>
          <w:b/>
          <w:b/>
          <w:spacing w:val="1"/>
          <w:sz w:val="16"/>
          <w:szCs w:val="16"/>
        </w:rPr>
      </w:pPr>
      <w:r>
        <w:rPr>
          <w:b/>
          <w:spacing w:val="1"/>
          <w:sz w:val="16"/>
          <w:szCs w:val="16"/>
        </w:rPr>
      </w:r>
    </w:p>
    <w:p>
      <w:pPr>
        <w:pStyle w:val="BodyText3"/>
        <w:spacing w:before="0" w:after="0"/>
        <w:jc w:val="center"/>
        <w:rPr>
          <w:b/>
          <w:b/>
          <w:w w:val="100"/>
          <w:sz w:val="26"/>
          <w:szCs w:val="26"/>
        </w:rPr>
      </w:pPr>
      <w:r>
        <w:rPr>
          <w:b/>
          <w:w w:val="100"/>
          <w:sz w:val="26"/>
          <w:szCs w:val="26"/>
        </w:rPr>
        <w:t>ДОКУМЕНТАЦИЯ ДЛЯ ПЕРЕГОВОРОВ</w:t>
      </w:r>
    </w:p>
    <w:p>
      <w:pPr>
        <w:pStyle w:val="Normal"/>
        <w:ind w:right="366" w:hanging="0"/>
        <w:jc w:val="both"/>
        <w:rPr/>
      </w:pPr>
      <w:r>
        <w:rPr>
          <w:b/>
        </w:rPr>
        <w:t>по выбору подрядчика на разработку проектно-сметной документации в полном объеме в соответствии с ТКП 45-1.02-295-2014 «Проектная документация. Состав, порядок разработки и утверждения» и «Заданием на проектирование», получение всех необходимых согласований и заключений</w:t>
      </w:r>
      <w:r>
        <w:rPr/>
        <w:t>,</w:t>
      </w:r>
      <w:r>
        <w:rPr>
          <w:b/>
        </w:rPr>
        <w:t xml:space="preserve"> с обязательным прохождением проектно-сметной документации государственной строительной экспертизы </w:t>
      </w:r>
      <w:r>
        <w:rPr>
          <w:b/>
        </w:rPr>
        <w:t>(при необходимости)</w:t>
      </w:r>
      <w:r>
        <w:rPr>
          <w:b/>
        </w:rPr>
        <w:t>, осуществление авторского надзора на всех стадиях реализации проекта (до сдачи объекта в эксплуатацию)</w:t>
      </w:r>
      <w:r>
        <w:rPr>
          <w:sz w:val="28"/>
          <w:szCs w:val="28"/>
        </w:rPr>
        <w:t xml:space="preserve"> </w:t>
      </w:r>
      <w:r>
        <w:rPr>
          <w:b/>
        </w:rPr>
        <w:t xml:space="preserve">по объекту: </w:t>
      </w:r>
    </w:p>
    <w:p>
      <w:pPr>
        <w:pStyle w:val="Normal"/>
        <w:ind w:right="366" w:hanging="0"/>
        <w:jc w:val="center"/>
        <w:rPr>
          <w:rFonts w:eastAsia="Calibri"/>
          <w:b w:val="false"/>
          <w:b w:val="false"/>
          <w:bCs w:val="false"/>
          <w:iCs/>
          <w:color w:val="000000"/>
          <w:spacing w:val="-6"/>
          <w:sz w:val="30"/>
          <w:szCs w:val="30"/>
          <w:highlight w:val="white"/>
          <w:u w:val="none"/>
          <w:lang w:val="ru-RU"/>
        </w:rPr>
      </w:pPr>
      <w:bookmarkStart w:id="0" w:name="__DdeLink__713_1859245866"/>
      <w:bookmarkEnd w:id="0"/>
      <w:r>
        <w:rPr>
          <w:rFonts w:eastAsia="Calibri"/>
          <w:b w:val="false"/>
          <w:bCs w:val="false"/>
          <w:iCs/>
          <w:color w:val="000000"/>
          <w:spacing w:val="-6"/>
          <w:sz w:val="30"/>
          <w:szCs w:val="30"/>
          <w:highlight w:val="white"/>
          <w:u w:val="none"/>
          <w:lang w:val="ru-RU"/>
        </w:rPr>
        <w:t>«Модернизация здания отделения связи №12, включающее устройство отдельного входа по адресу: Гродненская область, Лидский район, г.Лида, ул.Рыбиновского, д.24»</w:t>
      </w:r>
    </w:p>
    <w:p>
      <w:pPr>
        <w:pStyle w:val="Normal"/>
        <w:ind w:right="366" w:hanging="0"/>
        <w:jc w:val="center"/>
        <w:rPr>
          <w:b/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</w:r>
    </w:p>
    <w:p>
      <w:pPr>
        <w:pStyle w:val="Normal"/>
        <w:tabs>
          <w:tab w:val="clear" w:pos="709"/>
          <w:tab w:val="left" w:pos="10206" w:leader="none"/>
        </w:tabs>
        <w:rPr/>
      </w:pPr>
      <w:r>
        <w:rPr/>
        <w:t xml:space="preserve">1.Сведения о Заказчике переговоров. </w:t>
      </w:r>
    </w:p>
    <w:tbl>
      <w:tblPr>
        <w:tblW w:w="1018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47"/>
        <w:gridCol w:w="7637"/>
      </w:tblGrid>
      <w:tr>
        <w:trPr>
          <w:trHeight w:val="1674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BodyText3"/>
              <w:widowControl w:val="false"/>
              <w:tabs>
                <w:tab w:val="clear" w:pos="709"/>
                <w:tab w:val="left" w:pos="10206" w:leader="none"/>
              </w:tabs>
              <w:spacing w:before="0" w:after="0"/>
              <w:ind w:firstLine="426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Наименование,  юридический адрес, банковские реквизиты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0206" w:leader="none"/>
              </w:tabs>
              <w:jc w:val="center"/>
              <w:rPr/>
            </w:pPr>
            <w:r>
              <w:rPr>
                <w:b/>
                <w:i/>
                <w:spacing w:val="-8"/>
              </w:rPr>
              <w:t xml:space="preserve">Гродненское РУП «Фармация» </w:t>
            </w:r>
            <w:r>
              <w:rPr>
                <w:b/>
                <w:i/>
              </w:rPr>
              <w:t xml:space="preserve">230023, </w:t>
            </w:r>
            <w:r>
              <w:rPr>
                <w:b/>
                <w:i/>
                <w:color w:val="00000A"/>
                <w:highlight w:val="white"/>
              </w:rPr>
              <w:t>г.Гродно,ул.Ожешко,11.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0206" w:leader="none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р/с </w:t>
            </w:r>
            <w:r>
              <w:rPr>
                <w:b/>
                <w:i/>
                <w:lang w:val="en-US"/>
              </w:rPr>
              <w:t>BY</w:t>
            </w:r>
            <w:r>
              <w:rPr>
                <w:b/>
                <w:i/>
              </w:rPr>
              <w:t>81</w:t>
            </w:r>
            <w:r>
              <w:rPr>
                <w:b/>
                <w:i/>
                <w:lang w:val="en-US"/>
              </w:rPr>
              <w:t>BLBB</w:t>
            </w:r>
            <w:r>
              <w:rPr>
                <w:b/>
                <w:i/>
              </w:rPr>
              <w:t>30120500059690001001,</w:t>
            </w:r>
            <w:r>
              <w:rPr>
                <w:b/>
                <w:i/>
                <w:lang w:val="en-US"/>
              </w:rPr>
              <w:t>BIC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BLBBBY</w:t>
            </w:r>
            <w:r>
              <w:rPr>
                <w:b/>
                <w:i/>
              </w:rPr>
              <w:t>2</w:t>
            </w:r>
            <w:r>
              <w:rPr>
                <w:b/>
                <w:i/>
                <w:lang w:val="en-US"/>
              </w:rPr>
              <w:t>X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0206" w:leader="none"/>
              </w:tabs>
              <w:jc w:val="center"/>
              <w:rPr/>
            </w:pPr>
            <w:r>
              <w:rPr>
                <w:b/>
                <w:i/>
              </w:rPr>
              <w:t>Дирекция ОАО «Белинвестбанк» по Гродненской области, 230024, г.Гродно,ул.Советских Пограничников, 92</w:t>
            </w:r>
          </w:p>
        </w:tc>
      </w:tr>
      <w:tr>
        <w:trPr>
          <w:trHeight w:val="801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BodyText3"/>
              <w:widowControl w:val="false"/>
              <w:tabs>
                <w:tab w:val="clear" w:pos="709"/>
                <w:tab w:val="left" w:pos="10206" w:leader="none"/>
              </w:tabs>
              <w:spacing w:before="0" w:after="0"/>
              <w:ind w:firstLine="426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Контактные телефоны, адрес электронной почты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widowControl w:val="false"/>
              <w:tabs>
                <w:tab w:val="clear" w:pos="900"/>
                <w:tab w:val="left" w:pos="540" w:leader="none"/>
                <w:tab w:val="left" w:pos="10206" w:leader="none"/>
              </w:tabs>
              <w:jc w:val="center"/>
              <w:rPr/>
            </w:pPr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t>по вопросам, касающимся закупаемой услуги: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по разъяснениям технических вопросов: инженер по ремонту</w:t>
            </w:r>
            <w:r>
              <w:rPr>
                <w:i/>
                <w:color w:val="000000"/>
                <w:sz w:val="24"/>
                <w:szCs w:val="24"/>
                <w:highlight w:val="white"/>
              </w:rPr>
              <w:t xml:space="preserve"> Поликша С.Л.</w:t>
            </w:r>
          </w:p>
          <w:p>
            <w:pPr>
              <w:pStyle w:val="Style25"/>
              <w:widowControl w:val="false"/>
              <w:tabs>
                <w:tab w:val="clear" w:pos="900"/>
                <w:tab w:val="left" w:pos="540" w:leader="none"/>
                <w:tab w:val="left" w:pos="10206" w:leader="none"/>
              </w:tabs>
              <w:jc w:val="center"/>
              <w:rPr/>
            </w:pPr>
            <w:r>
              <w:rPr>
                <w:i/>
                <w:color w:val="000000"/>
                <w:sz w:val="24"/>
                <w:szCs w:val="24"/>
              </w:rPr>
              <w:t>тел. тел./факс. (+375152)62-21-68</w:t>
            </w:r>
            <w:r>
              <w:rPr>
                <w:i/>
                <w:color w:val="000000"/>
                <w:sz w:val="24"/>
                <w:szCs w:val="24"/>
                <w:highlight w:val="white"/>
              </w:rPr>
              <w:t xml:space="preserve"> или МТС (+37529)885-59-64</w:t>
            </w:r>
          </w:p>
          <w:p>
            <w:pPr>
              <w:pStyle w:val="Style25"/>
              <w:widowControl w:val="false"/>
              <w:tabs>
                <w:tab w:val="clear" w:pos="900"/>
                <w:tab w:val="left" w:pos="540" w:leader="none"/>
                <w:tab w:val="left" w:pos="10206" w:leader="none"/>
              </w:tabs>
              <w:jc w:val="center"/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адрес электронной почты: 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i/>
                <w:color w:val="000000"/>
                <w:sz w:val="24"/>
                <w:szCs w:val="24"/>
              </w:rPr>
              <w:t>-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i/>
                <w:color w:val="000000"/>
                <w:sz w:val="24"/>
                <w:szCs w:val="24"/>
              </w:rPr>
              <w:t>: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>building</w:t>
            </w:r>
            <w:r>
              <w:rPr>
                <w:i/>
                <w:color w:val="000000"/>
                <w:sz w:val="24"/>
                <w:szCs w:val="24"/>
              </w:rPr>
              <w:t>@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>farmacia</w:t>
            </w:r>
            <w:r>
              <w:rPr>
                <w:i/>
                <w:color w:val="000000"/>
                <w:sz w:val="24"/>
                <w:szCs w:val="24"/>
              </w:rPr>
              <w:t>.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>by</w:t>
            </w:r>
            <w:r>
              <w:rPr>
                <w:i/>
                <w:color w:val="000000"/>
                <w:sz w:val="24"/>
                <w:szCs w:val="24"/>
              </w:rPr>
              <w:t>.</w:t>
            </w:r>
          </w:p>
          <w:p>
            <w:pPr>
              <w:pStyle w:val="Style25"/>
              <w:widowControl w:val="false"/>
              <w:tabs>
                <w:tab w:val="left" w:pos="900" w:leader="none"/>
                <w:tab w:val="left" w:pos="2160" w:leader="none"/>
                <w:tab w:val="left" w:pos="10206" w:leader="none"/>
              </w:tabs>
              <w:jc w:val="center"/>
              <w:rPr/>
            </w:pPr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t>по вопросам оформления предложения на переговоры</w:t>
            </w:r>
            <w:r>
              <w:rPr>
                <w:b/>
                <w:i/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i/>
                <w:color w:val="000000"/>
                <w:sz w:val="24"/>
                <w:szCs w:val="24"/>
              </w:rPr>
              <w:t xml:space="preserve"> приёму предложений: юрисконсульт</w:t>
            </w:r>
            <w:r>
              <w:rPr>
                <w:i/>
                <w:color w:val="000000"/>
                <w:sz w:val="24"/>
                <w:szCs w:val="24"/>
                <w:highlight w:val="white"/>
              </w:rPr>
              <w:t xml:space="preserve"> Халько И.И.</w:t>
            </w:r>
          </w:p>
          <w:p>
            <w:pPr>
              <w:pStyle w:val="Style25"/>
              <w:widowControl w:val="false"/>
              <w:tabs>
                <w:tab w:val="left" w:pos="900" w:leader="none"/>
                <w:tab w:val="left" w:pos="2160" w:leader="none"/>
                <w:tab w:val="left" w:pos="10206" w:leader="none"/>
              </w:tabs>
              <w:jc w:val="center"/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тел. (+375152) 73-10-59, e-mail: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>zakup</w:t>
            </w:r>
            <w:r>
              <w:rPr>
                <w:i/>
                <w:color w:val="000000"/>
                <w:sz w:val="24"/>
                <w:szCs w:val="24"/>
              </w:rPr>
              <w:t>@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>farmacia</w:t>
            </w:r>
            <w:r>
              <w:rPr>
                <w:i/>
                <w:color w:val="000000"/>
                <w:sz w:val="24"/>
                <w:szCs w:val="24"/>
              </w:rPr>
              <w:t>.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>by</w:t>
            </w:r>
            <w:r>
              <w:rPr>
                <w:i/>
                <w:color w:val="000000"/>
                <w:sz w:val="24"/>
                <w:szCs w:val="24"/>
              </w:rPr>
              <w:t>.</w:t>
            </w:r>
          </w:p>
        </w:tc>
      </w:tr>
    </w:tbl>
    <w:p>
      <w:pPr>
        <w:pStyle w:val="BodyText3"/>
        <w:tabs>
          <w:tab w:val="clear" w:pos="709"/>
          <w:tab w:val="left" w:pos="10206" w:leader="none"/>
        </w:tabs>
        <w:spacing w:before="0" w:after="0"/>
        <w:jc w:val="both"/>
        <w:rPr/>
      </w:pPr>
      <w:r>
        <w:rPr>
          <w:w w:val="100"/>
          <w:sz w:val="24"/>
          <w:szCs w:val="24"/>
        </w:rPr>
        <w:t>2. Вид процедуры закупки:</w:t>
      </w:r>
    </w:p>
    <w:p>
      <w:pPr>
        <w:pStyle w:val="BodyText3"/>
        <w:spacing w:before="0" w:after="0"/>
        <w:jc w:val="both"/>
        <w:rPr/>
      </w:pPr>
      <w:r>
        <w:rPr>
          <w:w w:val="100"/>
          <w:sz w:val="24"/>
          <w:szCs w:val="24"/>
        </w:rPr>
        <w:t>-переговоры без предварительного квалификационного отбора Участников,</w:t>
      </w:r>
      <w:r>
        <w:rPr>
          <w:color w:val="FF0000"/>
          <w:w w:val="100"/>
          <w:sz w:val="24"/>
          <w:szCs w:val="24"/>
        </w:rPr>
        <w:t xml:space="preserve"> </w:t>
      </w:r>
      <w:r>
        <w:rPr>
          <w:color w:val="000000"/>
          <w:w w:val="100"/>
          <w:sz w:val="24"/>
          <w:szCs w:val="24"/>
        </w:rPr>
        <w:t xml:space="preserve">без </w:t>
      </w:r>
      <w:r>
        <w:rPr>
          <w:w w:val="100"/>
          <w:sz w:val="24"/>
          <w:szCs w:val="24"/>
        </w:rPr>
        <w:t>проведени</w:t>
      </w:r>
      <w:r>
        <w:rPr>
          <w:w w:val="100"/>
          <w:sz w:val="24"/>
          <w:szCs w:val="24"/>
        </w:rPr>
        <w:t>я</w:t>
      </w:r>
      <w:r>
        <w:rPr>
          <w:w w:val="100"/>
          <w:sz w:val="24"/>
          <w:szCs w:val="24"/>
        </w:rPr>
        <w:t xml:space="preserve"> процедуры снижения цены предложения.</w:t>
      </w:r>
    </w:p>
    <w:p>
      <w:pPr>
        <w:pStyle w:val="Normal"/>
        <w:tabs>
          <w:tab w:val="clear" w:pos="709"/>
          <w:tab w:val="left" w:pos="426" w:leader="none"/>
          <w:tab w:val="left" w:pos="10206" w:leader="none"/>
        </w:tabs>
        <w:jc w:val="both"/>
        <w:rPr/>
      </w:pPr>
      <w:r>
        <w:rPr/>
        <w:t xml:space="preserve">2.1.Для целей настоящей документации используются основные термины и их определения в значениях, установленных Законом Республики Беларусь от 05 июля 2004 года «Об архитектурной, градостроительной и строительной деятельности в Республике Беларусь» и Порядком осуществления строительной деятельности в Гродненском РУП «Фармация» утверждённая приказом генерального директора </w:t>
      </w:r>
      <w:r>
        <w:rPr>
          <w:highlight w:val="white"/>
        </w:rPr>
        <w:t>от 18.03.2020 № 125.</w:t>
      </w:r>
    </w:p>
    <w:p>
      <w:pPr>
        <w:pStyle w:val="Normal"/>
        <w:tabs>
          <w:tab w:val="clear" w:pos="709"/>
          <w:tab w:val="left" w:pos="426" w:leader="none"/>
          <w:tab w:val="left" w:pos="10206" w:leader="none"/>
        </w:tabs>
        <w:jc w:val="both"/>
        <w:rPr/>
      </w:pPr>
      <w:r>
        <w:rPr/>
        <w:t>3.Проведение настоящей процедуры закупки возложено на конкурсную комиссию, утвержденную приказом заместителя генерального директора Зарецкую Т.А.</w:t>
      </w:r>
      <w:r>
        <w:rPr>
          <w:highlight w:val="white"/>
        </w:rPr>
        <w:t xml:space="preserve"> </w:t>
      </w:r>
      <w:r>
        <w:rPr>
          <w:highlight w:val="white"/>
        </w:rPr>
        <w:t>от ___.0</w:t>
      </w:r>
      <w:r>
        <w:rPr>
          <w:highlight w:val="white"/>
        </w:rPr>
        <w:t>8</w:t>
      </w:r>
      <w:r>
        <w:rPr>
          <w:highlight w:val="white"/>
        </w:rPr>
        <w:t>.2022 года № ______.</w:t>
      </w:r>
    </w:p>
    <w:p>
      <w:pPr>
        <w:pStyle w:val="BodyText3"/>
        <w:tabs>
          <w:tab w:val="clear" w:pos="709"/>
          <w:tab w:val="left" w:pos="851" w:leader="none"/>
          <w:tab w:val="left" w:pos="10206" w:leader="none"/>
        </w:tabs>
        <w:spacing w:before="0" w:after="0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4.Предмет переговоров.</w:t>
      </w:r>
    </w:p>
    <w:p>
      <w:pPr>
        <w:pStyle w:val="Normal"/>
        <w:tabs>
          <w:tab w:val="clear" w:pos="709"/>
          <w:tab w:val="left" w:pos="10206" w:leader="none"/>
        </w:tabs>
        <w:jc w:val="both"/>
        <w:rPr/>
      </w:pPr>
      <w:r>
        <w:rPr/>
        <w:t xml:space="preserve">4.1. Разработка проектно-сметной документации в полном объеме в соответствии с ТКП 45-1.02-295-2014 «Проектная документация. Состав, порядок разработки и утверждения» и «Заданием на проектирование», получение всех необходимых согласований и заключений. Осуществление авторского надзора на всех стадиях реализации проекта (до сдачи объекта в эксплуатацию) по  объекту строительства </w:t>
      </w:r>
      <w:r>
        <w:rPr>
          <w:rFonts w:eastAsia="Calibri"/>
          <w:b w:val="false"/>
          <w:bCs w:val="false"/>
          <w:iCs/>
          <w:color w:val="000000"/>
          <w:spacing w:val="-6"/>
          <w:sz w:val="24"/>
          <w:szCs w:val="24"/>
          <w:highlight w:val="white"/>
          <w:highlight w:val="white"/>
          <w:u w:val="none"/>
          <w:lang w:val="ru-RU"/>
        </w:rPr>
        <w:t>«Модернизация здания отделения связи №12, включающее устройство отдельного входа по адресу: Гродненская область, Лидский район, г.Лида, ул.Рыбиновского, д.24»</w:t>
      </w:r>
      <w:r>
        <w:rPr>
          <w:highlight w:val="white"/>
        </w:rPr>
        <w:t xml:space="preserve"> Класс сложности объекта строительства: в соответствии с СТБ 2331-2015 «Здания и сооружения. Классификация» К-4.</w:t>
      </w:r>
    </w:p>
    <w:p>
      <w:pPr>
        <w:pStyle w:val="Normal"/>
        <w:shd w:val="clear" w:color="auto" w:fill="FFFFFF"/>
        <w:tabs>
          <w:tab w:val="clear" w:pos="709"/>
          <w:tab w:val="left" w:pos="1723" w:leader="none"/>
          <w:tab w:val="left" w:pos="4762" w:leader="underscore"/>
          <w:tab w:val="left" w:pos="10206" w:leader="none"/>
        </w:tabs>
        <w:jc w:val="both"/>
        <w:rPr/>
      </w:pPr>
      <w:r>
        <w:rPr/>
        <w:t>4.2.Сроки выполнения:</w:t>
      </w:r>
      <w:r>
        <w:rPr>
          <w:b/>
          <w:bCs/>
        </w:rPr>
        <w:t xml:space="preserve"> </w:t>
      </w:r>
      <w:r>
        <w:rPr>
          <w:color w:val="000000"/>
          <w:spacing w:val="1"/>
        </w:rPr>
        <w:t xml:space="preserve">передача Заказчику комплекта проектной документации, </w:t>
      </w:r>
      <w:r>
        <w:rPr>
          <w:color w:val="000000"/>
          <w:spacing w:val="1"/>
          <w:lang w:val="en-US"/>
        </w:rPr>
        <w:t>c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согласованиями, заключениями и экспертным заключением -</w:t>
      </w:r>
      <w:r>
        <w:rPr>
          <w:color w:val="000000"/>
          <w:spacing w:val="-2"/>
        </w:rPr>
        <w:t>август</w:t>
      </w:r>
      <w:r>
        <w:rPr>
          <w:color w:val="000000"/>
          <w:spacing w:val="-2"/>
        </w:rPr>
        <w:t xml:space="preserve"> 2022 года</w:t>
      </w:r>
      <w:r>
        <w:rPr>
          <w:color w:val="000000"/>
          <w:spacing w:val="-2"/>
          <w:highlight w:val="white"/>
        </w:rPr>
        <w:t>.</w:t>
      </w:r>
    </w:p>
    <w:p>
      <w:pPr>
        <w:pStyle w:val="Normal"/>
        <w:shd w:val="clear" w:color="auto" w:fill="FFFFFF"/>
        <w:tabs>
          <w:tab w:val="clear" w:pos="709"/>
          <w:tab w:val="left" w:pos="1723" w:leader="none"/>
          <w:tab w:val="left" w:pos="4762" w:leader="underscore"/>
          <w:tab w:val="left" w:pos="10206" w:leader="none"/>
        </w:tabs>
        <w:jc w:val="both"/>
        <w:rPr/>
      </w:pPr>
      <w:r>
        <w:rPr>
          <w:color w:val="000000"/>
          <w:spacing w:val="-2"/>
        </w:rPr>
        <w:t xml:space="preserve">4.3.Стартовая цена: </w:t>
      </w:r>
      <w:r>
        <w:rPr>
          <w:color w:val="000000"/>
          <w:spacing w:val="-2"/>
          <w:highlight w:val="white"/>
        </w:rPr>
        <w:t>определяется в ходе проведения процедуры переговоров.</w:t>
      </w:r>
    </w:p>
    <w:p>
      <w:pPr>
        <w:pStyle w:val="Normal"/>
        <w:shd w:val="clear" w:color="auto" w:fill="FFFFFF"/>
        <w:tabs>
          <w:tab w:val="clear" w:pos="709"/>
          <w:tab w:val="left" w:pos="0" w:leader="underscore"/>
          <w:tab w:val="left" w:pos="10206" w:leader="none"/>
        </w:tabs>
        <w:jc w:val="both"/>
        <w:rPr/>
      </w:pPr>
      <w:r>
        <w:rPr>
          <w:color w:val="000000"/>
          <w:spacing w:val="-2"/>
        </w:rPr>
        <w:t>Стартовая цена должна включать стоимость проектных работ, затраты на составление и регистрацию декларации о соответствии проектной документации требованиям безопасности технического регламента ТР 2009/013/</w:t>
      </w:r>
      <w:r>
        <w:rPr>
          <w:color w:val="000000"/>
          <w:spacing w:val="-2"/>
          <w:lang w:val="en-US"/>
        </w:rPr>
        <w:t>BY</w:t>
      </w:r>
      <w:r>
        <w:rPr>
          <w:color w:val="000000"/>
          <w:spacing w:val="-2"/>
        </w:rPr>
        <w:t>, а также налоги и отчисления.</w:t>
      </w:r>
    </w:p>
    <w:p>
      <w:pPr>
        <w:pStyle w:val="Normal"/>
        <w:shd w:val="clear" w:color="auto" w:fill="FFFFFF"/>
        <w:tabs>
          <w:tab w:val="clear" w:pos="709"/>
          <w:tab w:val="left" w:pos="1723" w:leader="none"/>
          <w:tab w:val="left" w:pos="4762" w:leader="underscore"/>
          <w:tab w:val="left" w:pos="10206" w:leader="none"/>
        </w:tabs>
        <w:jc w:val="both"/>
        <w:rPr/>
      </w:pPr>
      <w:r>
        <w:rPr>
          <w:color w:val="000000"/>
          <w:spacing w:val="-2"/>
        </w:rPr>
        <w:t>Стоимость разработки ПСД должна быть определена ресурсным методом на основании норм затрат, трудовых ресурсов согласно Методическим указаниям о порядке определения стоимости  разработки документации проектного обеспечения строительной деятельности ресурсным методом (НЗТ 8.01.00-2014) с изменениями и дополнениями.</w:t>
      </w:r>
    </w:p>
    <w:p>
      <w:pPr>
        <w:pStyle w:val="Style24"/>
        <w:tabs>
          <w:tab w:val="clear" w:pos="709"/>
          <w:tab w:val="left" w:pos="851" w:leader="none"/>
          <w:tab w:val="left" w:pos="1134" w:leader="none"/>
          <w:tab w:val="left" w:pos="10206" w:leader="none"/>
        </w:tabs>
        <w:jc w:val="both"/>
        <w:rPr/>
      </w:pPr>
      <w:r>
        <w:rPr>
          <w:b w:val="false"/>
          <w:bCs w:val="false"/>
          <w:sz w:val="24"/>
          <w:szCs w:val="24"/>
        </w:rPr>
        <w:t>5. Условия оплаты: отсрочка платежа не мене</w:t>
      </w:r>
      <w:r>
        <w:rPr>
          <w:b w:val="false"/>
          <w:bCs w:val="false"/>
          <w:sz w:val="24"/>
          <w:szCs w:val="24"/>
          <w:highlight w:val="white"/>
        </w:rPr>
        <w:t xml:space="preserve">е ____ </w:t>
      </w:r>
      <w:r>
        <w:rPr>
          <w:b w:val="false"/>
          <w:sz w:val="24"/>
          <w:szCs w:val="24"/>
          <w:highlight w:val="white"/>
        </w:rPr>
        <w:t>бан</w:t>
      </w:r>
      <w:r>
        <w:rPr>
          <w:b w:val="false"/>
          <w:sz w:val="24"/>
          <w:szCs w:val="24"/>
        </w:rPr>
        <w:t xml:space="preserve">ковских дней после подписания актов сдачи-приемки выполненных работ. </w:t>
      </w:r>
      <w:r>
        <w:rPr>
          <w:b w:val="false"/>
          <w:bCs w:val="false"/>
          <w:sz w:val="24"/>
          <w:szCs w:val="24"/>
        </w:rPr>
        <w:t>Заказчиком не предусмотрено перечисление аванса. Предложение Участника должно соответствовать требованиям и условиям, изложенным в пункте 5 документации для переговоров. В случае их нарушения такой участник отстраняется от участия в процедуре переговоров, а его предложение откланяется.</w:t>
      </w:r>
    </w:p>
    <w:p>
      <w:pPr>
        <w:pStyle w:val="Style25"/>
        <w:tabs>
          <w:tab w:val="left" w:pos="900" w:leader="none"/>
          <w:tab w:val="left" w:pos="10206" w:leader="none"/>
        </w:tabs>
        <w:rPr/>
      </w:pPr>
      <w:r>
        <w:rPr>
          <w:color w:val="auto"/>
          <w:sz w:val="24"/>
          <w:szCs w:val="24"/>
        </w:rPr>
        <w:t>6. Оплата за выполненные работы производится в белорусских рублях.</w:t>
      </w:r>
    </w:p>
    <w:p>
      <w:pPr>
        <w:pStyle w:val="Style24"/>
        <w:tabs>
          <w:tab w:val="clear" w:pos="709"/>
          <w:tab w:val="left" w:pos="851" w:leader="none"/>
          <w:tab w:val="left" w:pos="1134" w:leader="none"/>
          <w:tab w:val="left" w:pos="10206" w:leader="none"/>
        </w:tabs>
        <w:jc w:val="both"/>
        <w:rPr>
          <w:sz w:val="24"/>
          <w:szCs w:val="24"/>
        </w:rPr>
      </w:pPr>
      <w:r>
        <w:rPr>
          <w:b w:val="false"/>
          <w:sz w:val="24"/>
          <w:szCs w:val="24"/>
        </w:rPr>
        <w:t>7. Источник финансирования объекта строительства:</w:t>
      </w:r>
      <w:r>
        <w:rPr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 xml:space="preserve">собственные средства Гродненского РУП «Фармация». </w:t>
      </w:r>
    </w:p>
    <w:p>
      <w:pPr>
        <w:pStyle w:val="Normal"/>
        <w:tabs>
          <w:tab w:val="clear" w:pos="709"/>
          <w:tab w:val="left" w:pos="10206" w:leader="none"/>
        </w:tabs>
        <w:jc w:val="both"/>
        <w:rPr/>
      </w:pPr>
      <w:r>
        <w:rPr/>
        <w:t>8. Требования к участникам переговоров:</w:t>
      </w:r>
      <w:r>
        <w:rPr>
          <w:b/>
        </w:rPr>
        <w:t xml:space="preserve"> </w:t>
      </w:r>
      <w:r>
        <w:rPr/>
        <w:t>в данной процедуре могут принять участие юридические и физические лица, в том числе индивидуальные предприниматели, независимо от организационно-правовой формы, формы собственности, места нахождения и места происхождения капитала, предложения которых соответствуют требованиям, установленным в документации для переговоров.</w:t>
      </w:r>
    </w:p>
    <w:p>
      <w:pPr>
        <w:pStyle w:val="Normal"/>
        <w:tabs>
          <w:tab w:val="clear" w:pos="709"/>
          <w:tab w:val="left" w:pos="10206" w:leader="none"/>
        </w:tabs>
        <w:jc w:val="both"/>
        <w:rPr/>
      </w:pPr>
      <w:r>
        <w:rPr/>
        <w:t>8.1. Участником не может быть организация: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851" w:leader="none"/>
          <w:tab w:val="left" w:pos="10206" w:leader="none"/>
        </w:tabs>
        <w:ind w:left="0" w:firstLine="426"/>
        <w:jc w:val="both"/>
        <w:rPr/>
      </w:pPr>
      <w:r>
        <w:rPr/>
        <w:t>находящаяся в процессе ликвидации, реорганизации, или признанная в установленном законодательными актами порядке экономически несостоятельной (банкротом), за исключением находящейся в процедуре санации;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851" w:leader="none"/>
          <w:tab w:val="left" w:pos="10206" w:leader="none"/>
        </w:tabs>
        <w:ind w:left="0" w:firstLine="426"/>
        <w:jc w:val="both"/>
        <w:rPr/>
      </w:pPr>
      <w:r>
        <w:rPr/>
        <w:t>представившая недостоверную информацию о себе;</w:t>
      </w:r>
    </w:p>
    <w:p>
      <w:pPr>
        <w:pStyle w:val="Style34"/>
        <w:numPr>
          <w:ilvl w:val="0"/>
          <w:numId w:val="2"/>
        </w:numPr>
        <w:tabs>
          <w:tab w:val="clear" w:pos="709"/>
          <w:tab w:val="left" w:pos="851" w:leader="none"/>
          <w:tab w:val="left" w:pos="10206" w:leader="none"/>
        </w:tabs>
        <w:spacing w:before="0" w:after="0"/>
        <w:ind w:left="0" w:firstLine="426"/>
        <w:jc w:val="both"/>
        <w:rPr/>
      </w:pPr>
      <w:r>
        <w:rPr/>
        <w:t>не представившая либо представившая неполную (неточную) информацию о себе и отказавшихся представить соответствующую информацию в установленные организатором переговоров сроки;</w:t>
      </w:r>
    </w:p>
    <w:p>
      <w:pPr>
        <w:pStyle w:val="BodyText3"/>
        <w:numPr>
          <w:ilvl w:val="0"/>
          <w:numId w:val="2"/>
        </w:numPr>
        <w:tabs>
          <w:tab w:val="clear" w:pos="709"/>
          <w:tab w:val="left" w:pos="851" w:leader="none"/>
          <w:tab w:val="left" w:pos="10206" w:leader="none"/>
        </w:tabs>
        <w:spacing w:before="0" w:after="0"/>
        <w:ind w:left="0" w:firstLine="426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не соответствующая требованиям Заказчика переговоров к данным Участников.</w:t>
      </w:r>
    </w:p>
    <w:p>
      <w:pPr>
        <w:pStyle w:val="Style25"/>
        <w:tabs>
          <w:tab w:val="clear" w:pos="900"/>
          <w:tab w:val="left" w:pos="10206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Порядок и условия предоставления документации для переговоров:</w:t>
      </w:r>
    </w:p>
    <w:p>
      <w:pPr>
        <w:pStyle w:val="Style25"/>
        <w:tabs>
          <w:tab w:val="clear" w:pos="900"/>
          <w:tab w:val="left" w:pos="10206" w:leader="none"/>
        </w:tabs>
        <w:rPr/>
      </w:pPr>
      <w:r>
        <w:rPr>
          <w:color w:val="000000"/>
          <w:sz w:val="24"/>
          <w:szCs w:val="24"/>
        </w:rPr>
        <w:t>9.1.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Документация для переговоров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предоставляется участникам безвозмездно в электронном виде или по почте или передается представителю участника нарочным при предоставлении соответствующей доверенности.</w:t>
      </w:r>
    </w:p>
    <w:p>
      <w:pPr>
        <w:pStyle w:val="Normal"/>
        <w:tabs>
          <w:tab w:val="clear" w:pos="709"/>
          <w:tab w:val="left" w:pos="10206" w:leader="none"/>
        </w:tabs>
        <w:jc w:val="both"/>
        <w:rPr/>
      </w:pPr>
      <w:r>
        <w:rPr/>
        <w:t xml:space="preserve">9.2.Участник вправе обратиться к Заказчику переговоров с запросом о разъяснении положений документации для переговоров, но не позднее трех рабочих дней до истечения окончательного срока представления предложений для переговоров. </w:t>
      </w:r>
    </w:p>
    <w:p>
      <w:pPr>
        <w:pStyle w:val="Normal"/>
        <w:tabs>
          <w:tab w:val="clear" w:pos="709"/>
          <w:tab w:val="left" w:pos="10206" w:leader="none"/>
        </w:tabs>
        <w:jc w:val="both"/>
        <w:rPr/>
      </w:pPr>
      <w:r>
        <w:rPr/>
        <w:t>10. Наличие разрешительной документации на проектирование и строительство:</w:t>
      </w:r>
    </w:p>
    <w:p>
      <w:pPr>
        <w:pStyle w:val="Normal"/>
        <w:tabs>
          <w:tab w:val="clear" w:pos="709"/>
          <w:tab w:val="left" w:pos="10206" w:leader="none"/>
        </w:tabs>
        <w:jc w:val="both"/>
        <w:rPr/>
      </w:pPr>
      <w:r>
        <w:rPr/>
        <w:t xml:space="preserve">       </w:t>
      </w:r>
      <w:r>
        <w:rPr/>
        <w:t xml:space="preserve">- решение </w:t>
      </w:r>
      <w:r>
        <w:rPr/>
        <w:t>Лидского</w:t>
      </w:r>
      <w:r>
        <w:rPr/>
        <w:t xml:space="preserve"> РИК № </w:t>
      </w:r>
      <w:r>
        <w:rPr/>
        <w:t>630</w:t>
      </w:r>
      <w:r>
        <w:rPr/>
        <w:t xml:space="preserve"> от </w:t>
      </w:r>
      <w:r>
        <w:rPr/>
        <w:t>07.06.2022</w:t>
      </w:r>
      <w:r>
        <w:rPr/>
        <w:t xml:space="preserve"> г.;</w:t>
      </w:r>
    </w:p>
    <w:p>
      <w:pPr>
        <w:pStyle w:val="Normal"/>
        <w:tabs>
          <w:tab w:val="clear" w:pos="709"/>
          <w:tab w:val="left" w:pos="10206" w:leader="none"/>
        </w:tabs>
        <w:jc w:val="both"/>
        <w:rPr/>
      </w:pPr>
      <w:r>
        <w:rPr>
          <w:w w:val="100"/>
          <w:sz w:val="24"/>
          <w:szCs w:val="24"/>
        </w:rPr>
        <w:t xml:space="preserve">       </w:t>
      </w:r>
      <w:r>
        <w:rPr>
          <w:w w:val="100"/>
          <w:sz w:val="24"/>
          <w:szCs w:val="24"/>
        </w:rPr>
        <w:t xml:space="preserve">- архитектурно-планировочное задание № </w:t>
      </w:r>
      <w:r>
        <w:rPr>
          <w:w w:val="100"/>
          <w:sz w:val="24"/>
          <w:szCs w:val="24"/>
        </w:rPr>
        <w:t>109</w:t>
      </w:r>
      <w:r>
        <w:rPr>
          <w:w w:val="100"/>
          <w:sz w:val="24"/>
          <w:szCs w:val="24"/>
        </w:rPr>
        <w:t xml:space="preserve"> от </w:t>
      </w:r>
      <w:r>
        <w:rPr>
          <w:w w:val="100"/>
          <w:sz w:val="24"/>
          <w:szCs w:val="24"/>
        </w:rPr>
        <w:t>07.06.2022</w:t>
      </w:r>
      <w:r>
        <w:rPr>
          <w:w w:val="100"/>
          <w:sz w:val="24"/>
          <w:szCs w:val="24"/>
        </w:rPr>
        <w:t xml:space="preserve"> г.;</w:t>
      </w:r>
    </w:p>
    <w:p>
      <w:pPr>
        <w:pStyle w:val="Normal"/>
        <w:tabs>
          <w:tab w:val="clear" w:pos="709"/>
          <w:tab w:val="left" w:pos="10206" w:leader="none"/>
        </w:tabs>
        <w:jc w:val="both"/>
        <w:rPr/>
      </w:pPr>
      <w:r>
        <w:rPr>
          <w:w w:val="100"/>
          <w:sz w:val="24"/>
          <w:szCs w:val="24"/>
        </w:rPr>
        <w:t xml:space="preserve">       </w:t>
      </w:r>
      <w:r>
        <w:rPr>
          <w:w w:val="100"/>
          <w:sz w:val="24"/>
          <w:szCs w:val="24"/>
        </w:rPr>
        <w:t xml:space="preserve">- задание на проектирование от </w:t>
      </w:r>
      <w:r>
        <w:rPr>
          <w:w w:val="100"/>
          <w:sz w:val="24"/>
          <w:szCs w:val="24"/>
        </w:rPr>
        <w:t>26.07.2022</w:t>
      </w:r>
      <w:r>
        <w:rPr>
          <w:w w:val="100"/>
          <w:sz w:val="24"/>
          <w:szCs w:val="24"/>
          <w:shd w:fill="FFFFFF" w:val="clear"/>
        </w:rPr>
        <w:t xml:space="preserve"> г.</w:t>
      </w:r>
      <w:r>
        <w:rPr>
          <w:w w:val="100"/>
          <w:sz w:val="24"/>
          <w:szCs w:val="24"/>
        </w:rPr>
        <w:t>;</w:t>
      </w:r>
    </w:p>
    <w:p>
      <w:pPr>
        <w:pStyle w:val="Normal"/>
        <w:tabs>
          <w:tab w:val="clear" w:pos="709"/>
          <w:tab w:val="left" w:pos="10206" w:leader="none"/>
        </w:tabs>
        <w:jc w:val="both"/>
        <w:rPr>
          <w:highlight w:val="white"/>
        </w:rPr>
      </w:pPr>
      <w:r>
        <w:rPr>
          <w:w w:val="100"/>
          <w:sz w:val="24"/>
          <w:szCs w:val="24"/>
          <w:highlight w:val="white"/>
        </w:rPr>
        <w:t xml:space="preserve">       </w:t>
      </w:r>
      <w:r>
        <w:rPr>
          <w:w w:val="100"/>
          <w:sz w:val="24"/>
          <w:szCs w:val="24"/>
          <w:highlight w:val="white"/>
        </w:rPr>
        <w:t xml:space="preserve">- </w:t>
      </w:r>
      <w:r>
        <w:rPr>
          <w:w w:val="100"/>
          <w:sz w:val="24"/>
          <w:szCs w:val="24"/>
          <w:highlight w:val="white"/>
        </w:rPr>
        <w:t>согласование Гродненского филиала РУП «Белпочта» от 06.09.2021 №23-15/169</w:t>
      </w:r>
    </w:p>
    <w:p>
      <w:pPr>
        <w:pStyle w:val="Normal"/>
        <w:tabs>
          <w:tab w:val="clear" w:pos="709"/>
          <w:tab w:val="left" w:pos="10206" w:leader="none"/>
        </w:tabs>
        <w:jc w:val="both"/>
        <w:rPr/>
      </w:pPr>
      <w:r>
        <w:rPr/>
        <w:t>11. Объем представления предложений для переговоров участниками:</w:t>
      </w:r>
    </w:p>
    <w:p>
      <w:pPr>
        <w:pStyle w:val="Normal"/>
        <w:tabs>
          <w:tab w:val="clear" w:pos="709"/>
          <w:tab w:val="left" w:pos="10206" w:leader="none"/>
        </w:tabs>
        <w:jc w:val="both"/>
        <w:rPr/>
      </w:pPr>
      <w:r>
        <w:rPr/>
        <w:t xml:space="preserve">11.1. </w:t>
      </w:r>
      <w:r>
        <w:rPr>
          <w:bCs/>
        </w:rPr>
        <w:t>Описание предмета предложения (в соответствии с п.п.4.1. настоящей документации).</w:t>
      </w:r>
    </w:p>
    <w:p>
      <w:pPr>
        <w:pStyle w:val="Style25"/>
        <w:tabs>
          <w:tab w:val="left" w:pos="900" w:leader="none"/>
          <w:tab w:val="left" w:pos="10206" w:leader="none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11.2. Коммерческая часть:</w:t>
      </w:r>
    </w:p>
    <w:p>
      <w:pPr>
        <w:pStyle w:val="Normal"/>
        <w:tabs>
          <w:tab w:val="clear" w:pos="709"/>
          <w:tab w:val="left" w:pos="10206" w:leader="none"/>
        </w:tabs>
        <w:jc w:val="both"/>
        <w:rPr>
          <w:bCs/>
        </w:rPr>
      </w:pPr>
      <w:r>
        <w:rPr>
          <w:bCs/>
        </w:rPr>
        <w:t>11.2.1. общая стоимость предложения. Расчет цены должен быть представлен в предложении Участника;</w:t>
      </w:r>
    </w:p>
    <w:p>
      <w:pPr>
        <w:pStyle w:val="Normal"/>
        <w:tabs>
          <w:tab w:val="clear" w:pos="709"/>
          <w:tab w:val="left" w:pos="10206" w:leader="none"/>
        </w:tabs>
        <w:jc w:val="both"/>
        <w:rPr/>
      </w:pPr>
      <w:r>
        <w:rPr/>
        <w:t>11.2.2. условия оплаты (</w:t>
      </w:r>
      <w:r>
        <w:rPr>
          <w:i/>
        </w:rPr>
        <w:t xml:space="preserve">срок оплаты следует указывать в </w:t>
      </w:r>
      <w:r>
        <w:rPr>
          <w:i/>
          <w:u w:val="single"/>
        </w:rPr>
        <w:t>банковских днях</w:t>
      </w:r>
      <w:r>
        <w:rPr/>
        <w:t>), валюту цены заказа и валюту расчетов;</w:t>
      </w:r>
    </w:p>
    <w:p>
      <w:pPr>
        <w:pStyle w:val="Normal"/>
        <w:tabs>
          <w:tab w:val="clear" w:pos="709"/>
          <w:tab w:val="left" w:pos="10206" w:leader="none"/>
        </w:tabs>
        <w:jc w:val="both"/>
        <w:rPr/>
      </w:pPr>
      <w:r>
        <w:rPr/>
        <w:t>11.2.3. срок выполнения работ (с момента подписания договора обеими сторонами);</w:t>
      </w:r>
    </w:p>
    <w:p>
      <w:pPr>
        <w:pStyle w:val="Normal"/>
        <w:tabs>
          <w:tab w:val="clear" w:pos="709"/>
          <w:tab w:val="left" w:pos="10206" w:leader="none"/>
        </w:tabs>
        <w:jc w:val="both"/>
        <w:rPr/>
      </w:pPr>
      <w:r>
        <w:rPr/>
        <w:t>11.2.4. срок действия конкурсного предложения (не менее 60 дней с момента вскрытия пакета с предложением).</w:t>
      </w:r>
    </w:p>
    <w:p>
      <w:pPr>
        <w:pStyle w:val="Normal"/>
        <w:tabs>
          <w:tab w:val="clear" w:pos="709"/>
          <w:tab w:val="left" w:pos="10206" w:leader="none"/>
        </w:tabs>
        <w:jc w:val="both"/>
        <w:rPr/>
      </w:pPr>
      <w:r>
        <w:rPr/>
        <w:t>11.3. Информация об участнике:</w:t>
      </w:r>
    </w:p>
    <w:p>
      <w:pPr>
        <w:pStyle w:val="Normal"/>
        <w:tabs>
          <w:tab w:val="clear" w:pos="709"/>
          <w:tab w:val="left" w:pos="10206" w:leader="none"/>
        </w:tabs>
        <w:jc w:val="both"/>
        <w:rPr/>
      </w:pPr>
      <w:r>
        <w:rPr/>
        <w:t>11.3.1. полное наименование Участника и его реквизиты;</w:t>
      </w:r>
    </w:p>
    <w:p>
      <w:pPr>
        <w:pStyle w:val="Normal"/>
        <w:tabs>
          <w:tab w:val="clear" w:pos="709"/>
          <w:tab w:val="left" w:pos="10206" w:leader="none"/>
        </w:tabs>
        <w:jc w:val="both"/>
        <w:rPr/>
      </w:pPr>
      <w:r>
        <w:rPr/>
        <w:t>11.3.2. копии регистрационных документов (свидетельство о государственной регистрации);</w:t>
      </w:r>
    </w:p>
    <w:p>
      <w:pPr>
        <w:pStyle w:val="Style29"/>
        <w:tabs>
          <w:tab w:val="clear" w:pos="709"/>
          <w:tab w:val="left" w:pos="10206" w:leader="none"/>
        </w:tabs>
        <w:jc w:val="both"/>
        <w:rPr/>
      </w:pPr>
      <w:r>
        <w:rPr>
          <w:sz w:val="24"/>
          <w:szCs w:val="24"/>
        </w:rPr>
        <w:t>11.4. Письменное согласие со всеми условиями Заказчика, а также согласие на заключение договора на основании прилагаемого проекта (</w:t>
      </w:r>
      <w:r>
        <w:rPr>
          <w:i/>
          <w:sz w:val="24"/>
          <w:szCs w:val="24"/>
        </w:rPr>
        <w:t>приложение №1</w:t>
      </w:r>
      <w:r>
        <w:rPr>
          <w:sz w:val="24"/>
          <w:szCs w:val="24"/>
        </w:rPr>
        <w:t>).</w:t>
      </w:r>
    </w:p>
    <w:p>
      <w:pPr>
        <w:pStyle w:val="Style29"/>
        <w:tabs>
          <w:tab w:val="clear" w:pos="709"/>
          <w:tab w:val="left" w:pos="1020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11.5. В подтверждение квалификационных данных участником должны быть представлены:</w:t>
      </w:r>
    </w:p>
    <w:tbl>
      <w:tblPr>
        <w:tblW w:w="10208" w:type="dxa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6"/>
        <w:gridCol w:w="6942"/>
        <w:gridCol w:w="2870"/>
      </w:tblGrid>
      <w:tr>
        <w:trPr>
          <w:trHeight w:val="391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9"/>
              <w:widowControl w:val="false"/>
              <w:tabs>
                <w:tab w:val="clear" w:pos="709"/>
                <w:tab w:val="left" w:pos="0" w:leader="none"/>
                <w:tab w:val="left" w:pos="10206" w:leader="none"/>
              </w:tabs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ewncpi"/>
              <w:widowControl w:val="false"/>
              <w:tabs>
                <w:tab w:val="clear" w:pos="709"/>
                <w:tab w:val="left" w:pos="10206" w:leader="none"/>
              </w:tabs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(копия) для резидентов Республики Беларусь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ewncpi"/>
              <w:widowControl w:val="false"/>
              <w:tabs>
                <w:tab w:val="clear" w:pos="709"/>
                <w:tab w:val="left" w:pos="10206" w:leader="none"/>
              </w:tabs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Предоставить копию</w:t>
            </w:r>
          </w:p>
        </w:tc>
      </w:tr>
      <w:tr>
        <w:trPr>
          <w:trHeight w:val="391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9"/>
              <w:widowControl w:val="false"/>
              <w:tabs>
                <w:tab w:val="clear" w:pos="709"/>
                <w:tab w:val="left" w:pos="10206" w:leader="none"/>
              </w:tabs>
              <w:snapToGrid w:val="false"/>
              <w:ind w:left="-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ewncpi"/>
              <w:widowControl w:val="false"/>
              <w:tabs>
                <w:tab w:val="clear" w:pos="709"/>
                <w:tab w:val="left" w:pos="10206" w:leader="none"/>
              </w:tabs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аттестата соответствия, дающего право осуществлять деятельность по предмету заказа, выданного в установленном порядке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ewncpi"/>
              <w:widowControl w:val="false"/>
              <w:tabs>
                <w:tab w:val="clear" w:pos="709"/>
                <w:tab w:val="left" w:pos="10206" w:leader="none"/>
              </w:tabs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Предоставить копию</w:t>
            </w:r>
          </w:p>
        </w:tc>
      </w:tr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9"/>
              <w:widowControl w:val="false"/>
              <w:tabs>
                <w:tab w:val="clear" w:pos="709"/>
                <w:tab w:val="left" w:pos="10206" w:leader="none"/>
              </w:tabs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ewncpi"/>
              <w:widowControl w:val="false"/>
              <w:tabs>
                <w:tab w:val="clear" w:pos="709"/>
                <w:tab w:val="left" w:pos="10206" w:leader="none"/>
              </w:tabs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сотрудников участника, привлекаемых для выполнения предмета заказа, и их профессионально-квалификационный состав (с указанием времени работы по специальности и их специализации, наличия квалификационного аттестата, выданного в установленном порядке, если такой аттестат требуется в соответствии с законодательством)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ewncpi"/>
              <w:widowControl w:val="false"/>
              <w:tabs>
                <w:tab w:val="clear" w:pos="709"/>
                <w:tab w:val="left" w:pos="10206" w:leader="none"/>
              </w:tabs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Предоставить список сотрудников и копии квалификационных аттестатов</w:t>
            </w:r>
          </w:p>
        </w:tc>
      </w:tr>
      <w:tr>
        <w:trPr>
          <w:trHeight w:val="306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9"/>
              <w:widowControl w:val="false"/>
              <w:tabs>
                <w:tab w:val="clear" w:pos="709"/>
                <w:tab w:val="left" w:pos="10206" w:leader="none"/>
              </w:tabs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ewncpi"/>
              <w:widowControl w:val="false"/>
              <w:tabs>
                <w:tab w:val="clear" w:pos="709"/>
                <w:tab w:val="left" w:pos="10206" w:leader="none"/>
              </w:tabs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у участника материально-технической и информационной базы, лицензионного программного обеспечения;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ewncpi"/>
              <w:widowControl w:val="false"/>
              <w:tabs>
                <w:tab w:val="clear" w:pos="709"/>
                <w:tab w:val="left" w:pos="10206" w:leader="none"/>
              </w:tabs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Предоставить информацию за подписью руководителя</w:t>
            </w:r>
          </w:p>
        </w:tc>
      </w:tr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9"/>
              <w:widowControl w:val="false"/>
              <w:tabs>
                <w:tab w:val="clear" w:pos="709"/>
                <w:tab w:val="left" w:pos="10206" w:leader="none"/>
              </w:tabs>
              <w:snapToGrid w:val="false"/>
              <w:ind w:left="5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ewncpi"/>
              <w:widowControl w:val="false"/>
              <w:tabs>
                <w:tab w:val="clear" w:pos="709"/>
                <w:tab w:val="left" w:pos="10206" w:leader="none"/>
              </w:tabs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Способность участника выполнить весь комплекс проектных работ собственными силами или сведения о видах работ и привлекаемых для их выполнения субподрядчиках (в случае необходимости)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ewncpi"/>
              <w:widowControl w:val="false"/>
              <w:tabs>
                <w:tab w:val="clear" w:pos="709"/>
                <w:tab w:val="left" w:pos="10206" w:leader="none"/>
              </w:tabs>
              <w:ind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Предоставить информацию о видах работ, выполняемых собственными силами или субподрядчиками</w:t>
            </w:r>
          </w:p>
        </w:tc>
      </w:tr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9"/>
              <w:widowControl w:val="false"/>
              <w:tabs>
                <w:tab w:val="clear" w:pos="709"/>
                <w:tab w:val="left" w:pos="10206" w:leader="none"/>
              </w:tabs>
              <w:snapToGrid w:val="false"/>
              <w:ind w:left="5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ewncpi"/>
              <w:widowControl w:val="false"/>
              <w:tabs>
                <w:tab w:val="clear" w:pos="709"/>
                <w:tab w:val="left" w:pos="10206" w:leader="none"/>
              </w:tabs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у участника опыта работы в стране, где планируется строительство объекта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ewncpi"/>
              <w:widowControl w:val="false"/>
              <w:tabs>
                <w:tab w:val="clear" w:pos="709"/>
                <w:tab w:val="left" w:pos="10206" w:leader="none"/>
              </w:tabs>
              <w:ind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Предоставить перечень объектов</w:t>
            </w:r>
          </w:p>
        </w:tc>
      </w:tr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9"/>
              <w:widowControl w:val="false"/>
              <w:tabs>
                <w:tab w:val="clear" w:pos="709"/>
                <w:tab w:val="left" w:pos="10206" w:leader="none"/>
              </w:tabs>
              <w:snapToGrid w:val="false"/>
              <w:ind w:left="5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ewncpi"/>
              <w:widowControl w:val="false"/>
              <w:tabs>
                <w:tab w:val="clear" w:pos="709"/>
                <w:tab w:val="left" w:pos="10206" w:leader="none"/>
              </w:tabs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системы управления качеством, соответствующей международным стандартам ИСО серии 9001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ewncpi"/>
              <w:widowControl w:val="false"/>
              <w:tabs>
                <w:tab w:val="clear" w:pos="709"/>
                <w:tab w:val="left" w:pos="10206" w:leader="none"/>
              </w:tabs>
              <w:ind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Предоставить копию</w:t>
            </w:r>
          </w:p>
        </w:tc>
      </w:tr>
      <w:tr>
        <w:trPr>
          <w:trHeight w:val="614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9"/>
              <w:widowControl w:val="false"/>
              <w:tabs>
                <w:tab w:val="clear" w:pos="709"/>
                <w:tab w:val="left" w:pos="10206" w:leader="none"/>
              </w:tabs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ewncpi"/>
              <w:widowControl w:val="false"/>
              <w:tabs>
                <w:tab w:val="clear" w:pos="709"/>
                <w:tab w:val="left" w:pos="10206" w:leader="none"/>
              </w:tabs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Деловая репутация участника (отзывы заказчиков о качестве и соблюдении сроков выполнения работ, предусмотренных в соответствии с договором, сведения о наличии заключений органов государственной экспертизы или отказах в их выдаче за последние два года)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ewncpi"/>
              <w:widowControl w:val="false"/>
              <w:tabs>
                <w:tab w:val="clear" w:pos="709"/>
                <w:tab w:val="left" w:pos="10206" w:leader="none"/>
              </w:tabs>
              <w:ind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Предоставить отзывы Заказчиков (не менее 2 отзывов по объектам за последние 2 года)</w:t>
            </w:r>
          </w:p>
        </w:tc>
      </w:tr>
      <w:tr>
        <w:trPr>
          <w:trHeight w:val="413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9"/>
              <w:widowControl w:val="false"/>
              <w:tabs>
                <w:tab w:val="clear" w:pos="709"/>
                <w:tab w:val="left" w:pos="10206" w:leader="none"/>
              </w:tabs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ewncpi"/>
              <w:widowControl w:val="false"/>
              <w:tabs>
                <w:tab w:val="clear" w:pos="709"/>
                <w:tab w:val="left" w:pos="10206" w:leader="none"/>
              </w:tabs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изменениях, вносимых в наименование участника, правопреемстве, периоде осуществления проектной и изыскательской деятельности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ewncpi"/>
              <w:widowControl w:val="false"/>
              <w:tabs>
                <w:tab w:val="clear" w:pos="709"/>
                <w:tab w:val="left" w:pos="10206" w:leader="none"/>
              </w:tabs>
              <w:ind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Предоставить информацию за подписью руководителя</w:t>
            </w:r>
          </w:p>
        </w:tc>
      </w:tr>
      <w:tr>
        <w:trPr>
          <w:trHeight w:val="854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9"/>
              <w:widowControl w:val="false"/>
              <w:tabs>
                <w:tab w:val="clear" w:pos="709"/>
                <w:tab w:val="left" w:pos="10206" w:leader="none"/>
              </w:tabs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ewncpi"/>
              <w:widowControl w:val="false"/>
              <w:tabs>
                <w:tab w:val="clear" w:pos="709"/>
                <w:tab w:val="left" w:pos="10206" w:leader="none"/>
              </w:tabs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об участии участника в качестве ответчика в судебных или арбитражных процессах с указанием предмета иска (невыполнение или ненадлежащее выполнение договорных обязательств, некачественное выполнение работ и другое) за последние три года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ewncpi"/>
              <w:widowControl w:val="false"/>
              <w:tabs>
                <w:tab w:val="clear" w:pos="709"/>
                <w:tab w:val="left" w:pos="10206" w:leader="none"/>
              </w:tabs>
              <w:ind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Предоставить информацию за подписью руководителя</w:t>
            </w:r>
          </w:p>
        </w:tc>
      </w:tr>
      <w:tr>
        <w:trPr>
          <w:trHeight w:val="533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9"/>
              <w:widowControl w:val="false"/>
              <w:tabs>
                <w:tab w:val="clear" w:pos="709"/>
                <w:tab w:val="left" w:pos="10206" w:leader="none"/>
              </w:tabs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ewncpi"/>
              <w:widowControl w:val="false"/>
              <w:tabs>
                <w:tab w:val="clear" w:pos="709"/>
                <w:tab w:val="left" w:pos="10206" w:leader="none"/>
              </w:tabs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Справка о состоянии текущих счетов участника из обслуживающего банка на 1-ое число месяца соответствующего дню подачи предложения.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ewncpi"/>
              <w:widowControl w:val="false"/>
              <w:tabs>
                <w:tab w:val="clear" w:pos="709"/>
                <w:tab w:val="left" w:pos="10206" w:leader="none"/>
              </w:tabs>
              <w:ind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Предоставить справку из банка</w:t>
            </w:r>
          </w:p>
        </w:tc>
      </w:tr>
      <w:tr>
        <w:trPr>
          <w:trHeight w:val="506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9"/>
              <w:widowControl w:val="false"/>
              <w:tabs>
                <w:tab w:val="clear" w:pos="709"/>
                <w:tab w:val="left" w:pos="10206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ewncpi"/>
              <w:widowControl w:val="false"/>
              <w:tabs>
                <w:tab w:val="clear" w:pos="709"/>
                <w:tab w:val="left" w:pos="10206" w:leader="none"/>
              </w:tabs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отсутствии задолженности по платежам в бюджет на 1-ое число месяца соответствующего дню подачи предложения.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ewncpi"/>
              <w:widowControl w:val="false"/>
              <w:tabs>
                <w:tab w:val="clear" w:pos="709"/>
                <w:tab w:val="left" w:pos="10206" w:leader="none"/>
              </w:tabs>
              <w:ind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Предоставить информацию за подписью руководителя</w:t>
            </w:r>
          </w:p>
        </w:tc>
      </w:tr>
    </w:tbl>
    <w:p>
      <w:pPr>
        <w:pStyle w:val="Normal"/>
        <w:tabs>
          <w:tab w:val="clear" w:pos="709"/>
          <w:tab w:val="left" w:pos="993" w:leader="none"/>
          <w:tab w:val="left" w:pos="10206" w:leader="none"/>
        </w:tabs>
        <w:jc w:val="both"/>
        <w:rPr/>
      </w:pPr>
      <w:r>
        <w:rPr/>
        <w:t>11.6.</w:t>
      </w:r>
      <w:r>
        <w:rPr>
          <w:b/>
        </w:rPr>
        <w:t xml:space="preserve"> </w:t>
      </w:r>
      <w:r>
        <w:rPr/>
        <w:t>Предложение на переговоры должно содержать все данные, предусмотренные настоящей документацией и позволяющие оценить предложение Участника. Условия должны быть изложены таким образом, чтобы при рассмотрении и оценке предложений не допускались неоднозначные толкования формулировок. Все данные изложенные в предложении Участника понимаются буквально, в случае расхождений показателей изложенных цифрами и прописью, приоритет имеют прописанные прописью.</w:t>
      </w:r>
    </w:p>
    <w:p>
      <w:pPr>
        <w:pStyle w:val="Normal"/>
        <w:tabs>
          <w:tab w:val="clear" w:pos="709"/>
          <w:tab w:val="left" w:pos="10206" w:leader="none"/>
        </w:tabs>
        <w:jc w:val="both"/>
        <w:rPr/>
      </w:pPr>
      <w:r>
        <w:rPr/>
        <w:t xml:space="preserve">11.7. </w:t>
      </w:r>
      <w:r>
        <w:rPr>
          <w:kern w:val="2"/>
        </w:rPr>
        <w:t xml:space="preserve">Срок действия предложения на переговоры должен быть </w:t>
      </w:r>
      <w:r>
        <w:rPr>
          <w:b/>
          <w:kern w:val="2"/>
        </w:rPr>
        <w:t>не менее 60</w:t>
      </w:r>
      <w:r>
        <w:rPr>
          <w:kern w:val="2"/>
        </w:rPr>
        <w:t xml:space="preserve"> </w:t>
      </w:r>
      <w:r>
        <w:rPr>
          <w:b/>
          <w:kern w:val="2"/>
        </w:rPr>
        <w:t>календарных</w:t>
      </w:r>
      <w:r>
        <w:rPr>
          <w:kern w:val="2"/>
        </w:rPr>
        <w:t xml:space="preserve"> дней с момента вскрытия конвертов с предложениями. Предложение, имеющее более короткий срок действия, может быть отклонено, как не отвечающее требованиям. </w:t>
      </w:r>
      <w:r>
        <w:rPr/>
        <w:t>При необходимости не позднее, чем за пять календарных дней до истечения срока действия предложения, Заказчик может просить участника о продлении срока действия его предложения. Участник имеет право отклонить данную просьбу. Срок действия его предложения на переговоры в этом случае заканчивается в первоначально установленный срок.</w:t>
      </w:r>
    </w:p>
    <w:p>
      <w:pPr>
        <w:pStyle w:val="Style34"/>
        <w:tabs>
          <w:tab w:val="clear" w:pos="709"/>
          <w:tab w:val="left" w:pos="10206" w:leader="none"/>
        </w:tabs>
        <w:spacing w:before="0" w:after="0"/>
        <w:ind w:left="0" w:hanging="0"/>
        <w:jc w:val="both"/>
        <w:rPr/>
      </w:pPr>
      <w:r>
        <w:rPr/>
        <w:t>12. Порядок предоставления предложений на переговоры, конечный срок приема предложений:</w:t>
      </w:r>
    </w:p>
    <w:p>
      <w:pPr>
        <w:pStyle w:val="Normal"/>
        <w:tabs>
          <w:tab w:val="clear" w:pos="709"/>
          <w:tab w:val="left" w:pos="10206" w:leader="none"/>
        </w:tabs>
        <w:jc w:val="both"/>
        <w:rPr/>
      </w:pPr>
      <w:r>
        <w:rPr/>
        <w:t xml:space="preserve">12.1.Предложения представляются в </w:t>
      </w:r>
      <w:r>
        <w:rPr>
          <w:b/>
          <w:u w:val="single"/>
        </w:rPr>
        <w:t>письменной форме на бумажном носителе</w:t>
      </w:r>
      <w:r>
        <w:rPr/>
        <w:t xml:space="preserve"> посредством почтовой связи или лично в приемную Гродненского РУП «Фармация» </w:t>
      </w:r>
      <w:r>
        <w:rPr>
          <w:b/>
          <w:u w:val="single"/>
        </w:rPr>
        <w:t>в запечатанном отдельном конверте</w:t>
      </w:r>
      <w:r>
        <w:rPr/>
        <w:t xml:space="preserve"> с пометкой: </w:t>
      </w:r>
      <w:r>
        <w:rPr>
          <w:i/>
        </w:rPr>
        <w:t>«На переговоры по разработке ПСД по объекту:</w:t>
      </w:r>
      <w:r>
        <w:rPr>
          <w:b/>
          <w:bCs/>
          <w:i/>
          <w:spacing w:val="-6"/>
        </w:rPr>
        <w:t xml:space="preserve"> </w:t>
      </w:r>
      <w:bookmarkStart w:id="1" w:name="__DdeLink__1129_3244937265"/>
      <w:bookmarkEnd w:id="1"/>
      <w:r>
        <w:rPr>
          <w:rFonts w:eastAsia="Calibri"/>
          <w:b w:val="false"/>
          <w:bCs w:val="false"/>
          <w:i w:val="false"/>
          <w:iCs/>
          <w:color w:val="000000"/>
          <w:spacing w:val="-6"/>
          <w:sz w:val="24"/>
          <w:szCs w:val="24"/>
          <w:highlight w:val="white"/>
          <w:highlight w:val="white"/>
          <w:u w:val="none"/>
          <w:lang w:val="ru-RU"/>
        </w:rPr>
        <w:t>«Модернизация здания отделения связи №12, включающее устройство отдельного входа по адресу: Гродненская область, Лидский район, г.Лида, ул.Рыбиновского, д.24»</w:t>
      </w:r>
      <w:r>
        <w:rPr>
          <w:i/>
          <w:highlight w:val="white"/>
        </w:rPr>
        <w:t xml:space="preserve"> «</w:t>
      </w:r>
      <w:r>
        <w:rPr>
          <w:i/>
        </w:rPr>
        <w:t xml:space="preserve">Не вскрывать до _» </w:t>
      </w:r>
      <w:r>
        <w:rPr/>
        <w:t xml:space="preserve">по адресу: </w:t>
      </w:r>
      <w:r>
        <w:rPr>
          <w:color w:val="000000"/>
        </w:rPr>
        <w:t>Республика Беларусь, 230023, г.Гродно, ул.Ожешко, 11. На конверте следует указать</w:t>
      </w:r>
      <w:r>
        <w:rPr/>
        <w:t xml:space="preserve"> обратный адрес и номер телефона контактного лица.</w:t>
      </w:r>
    </w:p>
    <w:p>
      <w:pPr>
        <w:pStyle w:val="Underpoint"/>
        <w:tabs>
          <w:tab w:val="clear" w:pos="709"/>
          <w:tab w:val="left" w:pos="10206" w:leader="none"/>
        </w:tabs>
        <w:ind w:hanging="0"/>
        <w:rPr/>
      </w:pPr>
      <w:r>
        <w:rPr/>
        <w:t>12.2.Если конверт не опечатан и не помечен в соответствии с указанными выше требованиями, Заказчик не несет ответственности в случае открытия конверта раньше срока и (или) неучастия предложения в процедуре закупки.</w:t>
      </w:r>
    </w:p>
    <w:p>
      <w:pPr>
        <w:pStyle w:val="Normal"/>
        <w:tabs>
          <w:tab w:val="clear" w:pos="709"/>
          <w:tab w:val="left" w:pos="10206" w:leader="none"/>
        </w:tabs>
        <w:jc w:val="both"/>
        <w:rPr/>
      </w:pPr>
      <w:r>
        <w:rPr/>
        <w:t>12.3.Предложения на переговоры регистрируются Заказчиком в порядке их поступления с указанием даты и времени.</w:t>
      </w:r>
    </w:p>
    <w:p>
      <w:pPr>
        <w:pStyle w:val="BodyText3"/>
        <w:tabs>
          <w:tab w:val="clear" w:pos="709"/>
          <w:tab w:val="left" w:pos="10206" w:leader="none"/>
        </w:tabs>
        <w:spacing w:before="0" w:after="0"/>
        <w:jc w:val="both"/>
        <w:rPr/>
      </w:pPr>
      <w:r>
        <w:rPr>
          <w:w w:val="100"/>
          <w:sz w:val="24"/>
          <w:szCs w:val="24"/>
        </w:rPr>
        <w:t>12.4.Окончательный срок представления</w:t>
      </w:r>
      <w:r>
        <w:rPr>
          <w:b/>
          <w:w w:val="100"/>
          <w:sz w:val="24"/>
          <w:szCs w:val="24"/>
        </w:rPr>
        <w:t xml:space="preserve"> </w:t>
      </w:r>
      <w:r>
        <w:rPr>
          <w:w w:val="100"/>
          <w:sz w:val="24"/>
          <w:szCs w:val="24"/>
        </w:rPr>
        <w:t>предложений на переговоры</w:t>
      </w:r>
      <w:bookmarkStart w:id="2" w:name="_GoBack"/>
      <w:bookmarkEnd w:id="2"/>
      <w:r>
        <w:rPr>
          <w:w w:val="100"/>
          <w:sz w:val="24"/>
          <w:szCs w:val="24"/>
        </w:rPr>
        <w:t>:</w:t>
      </w:r>
      <w:r>
        <w:rPr>
          <w:b/>
          <w:bCs/>
          <w:w w:val="100"/>
          <w:sz w:val="24"/>
          <w:szCs w:val="24"/>
          <w:u w:val="single"/>
        </w:rPr>
        <w:t>05</w:t>
      </w:r>
      <w:r>
        <w:rPr>
          <w:b/>
          <w:bCs/>
          <w:w w:val="100"/>
          <w:sz w:val="24"/>
          <w:szCs w:val="24"/>
          <w:u w:val="single"/>
          <w:shd w:fill="FFFFFF" w:val="clear"/>
        </w:rPr>
        <w:t>.0</w:t>
      </w:r>
      <w:r>
        <w:rPr>
          <w:b/>
          <w:bCs/>
          <w:w w:val="100"/>
          <w:sz w:val="24"/>
          <w:szCs w:val="24"/>
          <w:u w:val="single"/>
          <w:shd w:fill="FFFFFF" w:val="clear"/>
        </w:rPr>
        <w:t>8</w:t>
      </w:r>
      <w:r>
        <w:rPr>
          <w:b/>
          <w:bCs/>
          <w:w w:val="100"/>
          <w:sz w:val="24"/>
          <w:szCs w:val="24"/>
          <w:u w:val="single"/>
          <w:shd w:fill="FFFFFF" w:val="clear"/>
        </w:rPr>
        <w:t>.2022 года до 16 ч. 00 мин.</w:t>
      </w:r>
    </w:p>
    <w:p>
      <w:pPr>
        <w:pStyle w:val="Normal"/>
        <w:tabs>
          <w:tab w:val="clear" w:pos="709"/>
          <w:tab w:val="left" w:pos="10206" w:leader="none"/>
        </w:tabs>
        <w:jc w:val="both"/>
        <w:rPr/>
      </w:pPr>
      <w:r>
        <w:rPr/>
        <w:t>12.5.Ответственность за своевременность подачи предложения в Гродненского РУП «Фармация» несет Участник.</w:t>
      </w:r>
    </w:p>
    <w:p>
      <w:pPr>
        <w:pStyle w:val="Newncpi"/>
        <w:tabs>
          <w:tab w:val="clear" w:pos="709"/>
          <w:tab w:val="left" w:pos="10206" w:leader="none"/>
        </w:tabs>
        <w:ind w:hanging="0"/>
        <w:rPr/>
      </w:pPr>
      <w:r>
        <w:rPr/>
        <w:t>12.6.Все предложения на переговоры, полученные после конечного срока приема предложений, не допускаются к участию в процедуре переговоров, а конверты возвращаются Участникам не распечатанными.</w:t>
      </w:r>
    </w:p>
    <w:p>
      <w:pPr>
        <w:pStyle w:val="Newncpi"/>
        <w:tabs>
          <w:tab w:val="clear" w:pos="709"/>
          <w:tab w:val="left" w:pos="10206" w:leader="none"/>
        </w:tabs>
        <w:ind w:hanging="0"/>
        <w:rPr>
          <w:bCs/>
        </w:rPr>
      </w:pPr>
      <w:r>
        <w:rPr>
          <w:bCs/>
        </w:rPr>
        <w:t>12.7.Участники имеют право отзывать свои предложения для переговоров и изменять их содержание, но не позднее предусмотренного условиями переговоров предельного срока их представления. Изменения оформляются и представляются в порядке, предусмотренном для подачи предложений для переговоров. В случае отзыва предложения путем направления уведомления в установленный срок, предложение не вскрывается и возвращается участнику по его письменному запросу нарочно, при наличии соответствующей доверенности или иных документов подтверждающих такие полномочия лица.</w:t>
      </w:r>
    </w:p>
    <w:p>
      <w:pPr>
        <w:pStyle w:val="Normal"/>
        <w:tabs>
          <w:tab w:val="clear" w:pos="709"/>
          <w:tab w:val="left" w:pos="10206" w:leader="none"/>
        </w:tabs>
        <w:jc w:val="both"/>
        <w:rPr/>
      </w:pPr>
      <w:r>
        <w:rPr/>
        <w:t xml:space="preserve">12.8.Заседание конкурсной комиссии по вскрытию предложений на переговоры состоится </w:t>
      </w:r>
      <w:r>
        <w:rPr>
          <w:b/>
          <w:bCs/>
          <w:u w:val="single"/>
        </w:rPr>
        <w:t>05.08</w:t>
      </w:r>
      <w:r>
        <w:rPr>
          <w:b/>
          <w:bCs/>
          <w:u w:val="single"/>
          <w:shd w:fill="FFFFFF" w:val="clear"/>
        </w:rPr>
        <w:t xml:space="preserve">.2022 года в 16 ч. </w:t>
      </w:r>
      <w:r>
        <w:rPr>
          <w:b/>
          <w:bCs/>
          <w:u w:val="single"/>
          <w:shd w:fill="FFFFFF" w:val="clear"/>
        </w:rPr>
        <w:t>10</w:t>
      </w:r>
      <w:r>
        <w:rPr>
          <w:b/>
          <w:bCs/>
          <w:u w:val="single"/>
          <w:shd w:fill="FFFFFF" w:val="clear"/>
        </w:rPr>
        <w:t xml:space="preserve"> мин.</w:t>
      </w:r>
      <w:r>
        <w:rPr>
          <w:b/>
          <w:bCs/>
        </w:rPr>
        <w:t xml:space="preserve"> </w:t>
      </w:r>
      <w:r>
        <w:rPr/>
        <w:t>(Республика Беларусь, 230023,г. Гродно, ул. Ожешко,11), кабинет персонала.</w:t>
      </w:r>
    </w:p>
    <w:p>
      <w:pPr>
        <w:pStyle w:val="Normal"/>
        <w:tabs>
          <w:tab w:val="clear" w:pos="709"/>
          <w:tab w:val="left" w:pos="10206" w:leader="none"/>
        </w:tabs>
        <w:jc w:val="both"/>
        <w:rPr/>
      </w:pPr>
      <w:r>
        <w:rPr/>
        <w:t>12.9.Участники, представившие предложения для переговоров и зарегистрированные Заказчиком переговоров, вправе присутствовать на заседании конкурсной комиссии при вскрытии конвертов с предложениями для переговоров.</w:t>
      </w:r>
    </w:p>
    <w:p>
      <w:pPr>
        <w:pStyle w:val="Normal"/>
        <w:tabs>
          <w:tab w:val="clear" w:pos="709"/>
          <w:tab w:val="left" w:pos="10206" w:leader="none"/>
        </w:tabs>
        <w:jc w:val="both"/>
        <w:rPr/>
      </w:pPr>
      <w:r>
        <w:rPr/>
        <w:t>12.10. Перед началом процедуры вскрытия предложений Участников, уполномоченное лицо Участника должно предъявить конкурсной комиссии документ, подтверждающий такие полномочия (доверенность или иной документ, паспорт; в случае, если в качестве представителя Участника выступает его руководитель, им представляется копия приказа о назначении либо копия трудового контракта, и (или) выписка из решения органа управления участника, паспорт).</w:t>
      </w:r>
    </w:p>
    <w:p>
      <w:pPr>
        <w:pStyle w:val="Normal"/>
        <w:tabs>
          <w:tab w:val="clear" w:pos="709"/>
          <w:tab w:val="left" w:pos="10206" w:leader="none"/>
        </w:tabs>
        <w:rPr/>
      </w:pPr>
      <w:r>
        <w:rPr/>
        <w:t>13. Порядок проведения переговоров.</w:t>
      </w:r>
    </w:p>
    <w:p>
      <w:pPr>
        <w:pStyle w:val="Normal"/>
        <w:tabs>
          <w:tab w:val="clear" w:pos="709"/>
          <w:tab w:val="left" w:pos="10206" w:leader="none"/>
        </w:tabs>
        <w:jc w:val="both"/>
        <w:rPr/>
      </w:pPr>
      <w:r>
        <w:rPr/>
        <w:t>13.1. При вскрытии конвертов конкурсная комиссия проверяет наличие всех документов, установленных в соответствии с документацией для переговоров, и оглашает наименование и место нахождения каждого участника, содержание основных пунктов предложений.</w:t>
      </w:r>
    </w:p>
    <w:p>
      <w:pPr>
        <w:pStyle w:val="Normal"/>
        <w:tabs>
          <w:tab w:val="clear" w:pos="709"/>
          <w:tab w:val="left" w:pos="10206" w:leader="none"/>
        </w:tabs>
        <w:jc w:val="both"/>
        <w:rPr/>
      </w:pPr>
      <w:r>
        <w:rPr/>
        <w:t xml:space="preserve">13.2. Предложения для переговоров, прошедшие процедуру вскрытия конвертов, подлежат рассмотрению конкурсной комиссией на их соответствие требованиям документации для переговоров. </w:t>
      </w:r>
    </w:p>
    <w:p>
      <w:pPr>
        <w:pStyle w:val="Underpoint"/>
        <w:tabs>
          <w:tab w:val="clear" w:pos="709"/>
          <w:tab w:val="left" w:pos="10206" w:leader="none"/>
        </w:tabs>
        <w:ind w:hanging="0"/>
        <w:rPr/>
      </w:pPr>
      <w:r>
        <w:rPr/>
        <w:t>13.3. В случае необходимости конкурсная комиссия вправе запросить у Участника уточняющую информацию, которую участник обязан предоставить в запрашиваемые сроки. В случае выявления несоответствий предложения на переговоры требованиям документации на переговоры конкурсная комиссия вправе уведомить об этом Участника, представившего такое предложение на переговоры, и предложить ему внести соответствующие изменения в течение определенного срока.</w:t>
      </w:r>
    </w:p>
    <w:p>
      <w:pPr>
        <w:pStyle w:val="Normal"/>
        <w:tabs>
          <w:tab w:val="clear" w:pos="709"/>
          <w:tab w:val="left" w:pos="10206" w:leader="none"/>
        </w:tabs>
        <w:jc w:val="both"/>
        <w:rPr/>
      </w:pPr>
      <w:r>
        <w:rPr/>
        <w:t>13.4. Если у конкурсной комиссии возникают сомнения в достоверности представленных Участником сведений, она вправе произвести дополнительную их проверку с участием специалистов, либо назначить проведение экспертизы.</w:t>
      </w:r>
    </w:p>
    <w:p>
      <w:pPr>
        <w:pStyle w:val="Normal"/>
        <w:tabs>
          <w:tab w:val="clear" w:pos="709"/>
          <w:tab w:val="left" w:pos="10206" w:leader="none"/>
        </w:tabs>
        <w:jc w:val="both"/>
        <w:rPr/>
      </w:pPr>
      <w:r>
        <w:rPr/>
        <w:t>13.5. Участник отстраняется от участия в переговорах в любой момент до заключения договора, если Заказчик переговоров обнаружит, что Участником представлена недостоверная информация.</w:t>
      </w:r>
    </w:p>
    <w:p>
      <w:pPr>
        <w:pStyle w:val="Normal"/>
        <w:tabs>
          <w:tab w:val="clear" w:pos="709"/>
          <w:tab w:val="left" w:pos="10206" w:leader="none"/>
        </w:tabs>
        <w:jc w:val="both"/>
        <w:rPr/>
      </w:pPr>
      <w:r>
        <w:rPr/>
        <w:t>13.6. Участник переговоров обязан предоставить разъяснения по представленному предложению для переговоров в установленный конкурсной комиссией срок.</w:t>
      </w:r>
    </w:p>
    <w:p>
      <w:pPr>
        <w:pStyle w:val="Normal"/>
        <w:tabs>
          <w:tab w:val="clear" w:pos="709"/>
          <w:tab w:val="left" w:pos="10206" w:leader="none"/>
        </w:tabs>
        <w:jc w:val="both"/>
        <w:rPr/>
      </w:pPr>
      <w:r>
        <w:rPr/>
        <w:t>13.7. Участник, не представивший либо представивший неполную (неточную) информацию, и отказавшийся представить соответствующую информацию в установленный конкурсной комиссией срок, отстраняется от участия в переговорах. Его предложение для переговоров отклоняется.</w:t>
      </w:r>
    </w:p>
    <w:p>
      <w:pPr>
        <w:pStyle w:val="Style25"/>
        <w:tabs>
          <w:tab w:val="left" w:pos="900" w:leader="none"/>
          <w:tab w:val="left" w:pos="10206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13.8. Не допускается изменение цены предложения или внесение других изменений и (или) дополнений, вследствие которых предложение, не соответствующее требованиям документации на переговоры, стало бы соответствовать этим требованиям (за исключением исправления ошибок, включая арифметические, и внесения уточнений по предложению комиссии, внесения изменений в ходе проведения процедуры снижения цены заказа). Заказчик переговоров допускает участникам после вскрытия пакетов с конкурсными предложениями приводить предложения в соответствие с формальными требованиями, содержащимися в документации для переговоров, не влияющих на существенные условия предложений, за исключением случаев их улучшения в интересах Заказчика.</w:t>
      </w:r>
    </w:p>
    <w:p>
      <w:pPr>
        <w:pStyle w:val="Numheader"/>
        <w:tabs>
          <w:tab w:val="clear" w:pos="709"/>
          <w:tab w:val="left" w:pos="10206" w:leader="none"/>
        </w:tabs>
        <w:spacing w:before="0" w:after="0"/>
        <w:jc w:val="both"/>
        <w:rPr/>
      </w:pPr>
      <w:r>
        <w:rPr>
          <w:b w:val="false"/>
          <w:bCs w:val="false"/>
        </w:rPr>
        <w:t>14. Отклонение предложений на переговоры:</w:t>
      </w:r>
    </w:p>
    <w:p>
      <w:pPr>
        <w:pStyle w:val="Justify"/>
        <w:tabs>
          <w:tab w:val="clear" w:pos="709"/>
          <w:tab w:val="left" w:pos="10206" w:leader="none"/>
        </w:tabs>
        <w:ind w:hanging="0"/>
        <w:rPr/>
      </w:pPr>
      <w:r>
        <w:rPr/>
        <w:t>14.1.Комиссия отклоняет предложение, если:</w:t>
      </w:r>
    </w:p>
    <w:p>
      <w:pPr>
        <w:pStyle w:val="Justify"/>
        <w:tabs>
          <w:tab w:val="clear" w:pos="709"/>
          <w:tab w:val="left" w:pos="851" w:leader="none"/>
          <w:tab w:val="left" w:pos="10206" w:leader="none"/>
        </w:tabs>
        <w:ind w:firstLine="426"/>
        <w:rPr/>
      </w:pPr>
      <w:r>
        <w:rPr/>
        <w:tab/>
        <w:t>-предложение не отвечает требованиям и условиям документации на переговоры;</w:t>
      </w:r>
    </w:p>
    <w:p>
      <w:pPr>
        <w:pStyle w:val="Justify"/>
        <w:tabs>
          <w:tab w:val="clear" w:pos="709"/>
          <w:tab w:val="left" w:pos="851" w:leader="none"/>
          <w:tab w:val="left" w:pos="10206" w:leader="none"/>
        </w:tabs>
        <w:ind w:left="207" w:firstLine="426"/>
        <w:rPr/>
      </w:pPr>
      <w:r>
        <w:rPr/>
        <w:tab/>
        <w:t>-участник отказался исправить выявленные в нем ошибки, включая арифметические, и (или) устранить неточности, внести соответствующие изменения в части документов и сведений по предложению комиссии;</w:t>
      </w:r>
    </w:p>
    <w:p>
      <w:pPr>
        <w:pStyle w:val="Justify"/>
        <w:tabs>
          <w:tab w:val="clear" w:pos="709"/>
          <w:tab w:val="left" w:pos="851" w:leader="none"/>
          <w:tab w:val="left" w:pos="10206" w:leader="none"/>
        </w:tabs>
        <w:ind w:left="207" w:firstLine="426"/>
        <w:rPr/>
      </w:pPr>
      <w:r>
        <w:rPr/>
        <w:tab/>
        <w:t>-участник не соответствует требованиям к квалификационным данным участника, указанным в документации на переговоры;</w:t>
      </w:r>
    </w:p>
    <w:p>
      <w:pPr>
        <w:pStyle w:val="Justify"/>
        <w:tabs>
          <w:tab w:val="clear" w:pos="709"/>
          <w:tab w:val="left" w:pos="851" w:leader="none"/>
          <w:tab w:val="left" w:pos="10206" w:leader="none"/>
        </w:tabs>
        <w:ind w:left="207" w:firstLine="426"/>
        <w:rPr/>
      </w:pPr>
      <w:r>
        <w:rPr/>
        <w:tab/>
        <w:t>-участник внес изменения и (или) дополнения в предложение после истечения срока подготовки и подачи предложений (за исключением исправления ошибок, включая арифметические, и устранения неточностей по предложению комиссии, а также изменений, внесенных участником (в сторону улучшения) в ходе проведения процедуры улучшения предложений);</w:t>
      </w:r>
    </w:p>
    <w:p>
      <w:pPr>
        <w:pStyle w:val="Justify"/>
        <w:tabs>
          <w:tab w:val="clear" w:pos="709"/>
          <w:tab w:val="left" w:pos="851" w:leader="none"/>
          <w:tab w:val="left" w:pos="10206" w:leader="none"/>
        </w:tabs>
        <w:ind w:left="207" w:firstLine="426"/>
        <w:rPr/>
      </w:pPr>
      <w:r>
        <w:rPr/>
        <w:tab/>
        <w:t>- установит, что участником направлены недостоверные документы и (или) сведения;</w:t>
      </w:r>
    </w:p>
    <w:p>
      <w:pPr>
        <w:pStyle w:val="ConsPlusNormal"/>
        <w:widowControl/>
        <w:tabs>
          <w:tab w:val="clear" w:pos="709"/>
          <w:tab w:val="left" w:pos="851" w:leader="none"/>
          <w:tab w:val="left" w:pos="10206" w:leader="none"/>
        </w:tabs>
        <w:ind w:left="207" w:firstLine="426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ab/>
        <w:t>-участник, выбранный поставщиком (подрядчиком, исполнителем), отказался подтвердить или не подтвердил свои квалификационные данные;</w:t>
      </w:r>
    </w:p>
    <w:p>
      <w:pPr>
        <w:pStyle w:val="ConsPlusNormal"/>
        <w:widowControl/>
        <w:tabs>
          <w:tab w:val="clear" w:pos="709"/>
          <w:tab w:val="left" w:pos="851" w:leader="none"/>
          <w:tab w:val="left" w:pos="10206" w:leader="none"/>
        </w:tabs>
        <w:ind w:left="207" w:firstLine="426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ab/>
        <w:t>-при наличии отрицательных отзывов по ненадлежащему исполнению договорных обязательств в части, касающейся качества и сроков выполнения работ.</w:t>
      </w:r>
    </w:p>
    <w:p>
      <w:pPr>
        <w:pStyle w:val="Normal"/>
        <w:tabs>
          <w:tab w:val="clear" w:pos="709"/>
          <w:tab w:val="left" w:pos="10206" w:leader="none"/>
        </w:tabs>
        <w:jc w:val="both"/>
        <w:rPr>
          <w:bCs/>
        </w:rPr>
      </w:pPr>
      <w:r>
        <w:rPr>
          <w:bCs/>
        </w:rPr>
        <w:t>14.2.Все предложения могут быть отклонены до выбора наилучшего из них в случае, если все предложения содержат невыгодные для Заказчика условия.</w:t>
      </w:r>
    </w:p>
    <w:p>
      <w:pPr>
        <w:pStyle w:val="Normal"/>
        <w:tabs>
          <w:tab w:val="clear" w:pos="709"/>
          <w:tab w:val="left" w:pos="10206" w:leader="none"/>
        </w:tabs>
        <w:jc w:val="both"/>
        <w:rPr/>
      </w:pPr>
      <w:r>
        <w:rPr/>
        <w:t>14.3.Уведомление участнику(ам), предложение(я) которого(ых) отклонено(ы), с указанием причины отклонения будет направлено в течение трех рабочих дней с момента принятия такого решения.</w:t>
      </w:r>
    </w:p>
    <w:p>
      <w:pPr>
        <w:pStyle w:val="Normal"/>
        <w:tabs>
          <w:tab w:val="clear" w:pos="709"/>
          <w:tab w:val="left" w:pos="10206" w:leader="none"/>
        </w:tabs>
        <w:jc w:val="both"/>
        <w:rPr/>
      </w:pPr>
      <w:r>
        <w:rPr/>
        <w:t>14.4.Отрицательный опыт реализации проекта, отрицательная деловитая репутация участника, служит поводом для отклонения предложения участника. В качестве подтверждения факта наличия отрицательного опыта являются расторгнутые заказчиком договора, претензии со стороны Заказчика к Исполнителю по ненадлежащему выполнению договорных обязательств в части, касающейся качества товара (работ, услуг) и сроков поставки (выполнения) товара (работ, услуг) аналогичных предмету закупки, наличие не исполненных (неоплаченных) исполнительных документов у Заказчика, выданных в отношении Участника (судебных приказов, исполнительных листов, исполнительных надписей нотариусов), включение участника в Реестр поставщиков (подрядчиков, исполнителей), временно не допускаемых к участию в процедурах закупок (www.icetrade.by).</w:t>
      </w:r>
    </w:p>
    <w:p>
      <w:pPr>
        <w:pStyle w:val="Normal"/>
        <w:tabs>
          <w:tab w:val="clear" w:pos="709"/>
          <w:tab w:val="left" w:pos="10206" w:leader="none"/>
        </w:tabs>
        <w:rPr/>
      </w:pPr>
      <w:r>
        <w:rPr/>
        <w:t>15. Оценка предложения и выбор Победителя.</w:t>
      </w:r>
    </w:p>
    <w:p>
      <w:pPr>
        <w:pStyle w:val="Normal"/>
        <w:tabs>
          <w:tab w:val="clear" w:pos="709"/>
          <w:tab w:val="left" w:pos="10206" w:leader="none"/>
        </w:tabs>
        <w:jc w:val="both"/>
        <w:rPr/>
      </w:pPr>
      <w:r>
        <w:rPr/>
        <w:t>15.1. Оценка предложений на переговоры будет осуществляться в рублях РБ без учёта НДС.</w:t>
      </w:r>
    </w:p>
    <w:p>
      <w:pPr>
        <w:pStyle w:val="Newncpi"/>
        <w:tabs>
          <w:tab w:val="clear" w:pos="709"/>
          <w:tab w:val="left" w:pos="10206" w:leader="none"/>
        </w:tabs>
        <w:ind w:hanging="0"/>
        <w:rPr/>
      </w:pPr>
      <w:r>
        <w:rPr/>
        <w:t>15.2. Оценка предложений участников будет производиться в соответствии со следующими критериями по методике, которая представлена в таблицах 1. Информация о рассмотрении и оценке предложений не подлежит разглашению.</w:t>
      </w:r>
    </w:p>
    <w:p>
      <w:pPr>
        <w:pStyle w:val="Style33"/>
        <w:tabs>
          <w:tab w:val="clear" w:pos="709"/>
          <w:tab w:val="left" w:pos="10206" w:leader="none"/>
        </w:tabs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tbl>
      <w:tblPr>
        <w:tblW w:w="101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87"/>
        <w:gridCol w:w="4818"/>
        <w:gridCol w:w="1990"/>
        <w:gridCol w:w="2420"/>
      </w:tblGrid>
      <w:tr>
        <w:trPr>
          <w:trHeight w:val="245" w:hRule="atLeast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0206" w:leader="none"/>
              </w:tabs>
              <w:rPr>
                <w:highlight w:val="yellow"/>
              </w:rPr>
            </w:pPr>
            <w:r>
              <w:rPr>
                <w:highlight w:val="white"/>
              </w:rPr>
              <w:t xml:space="preserve">№ </w:t>
            </w:r>
            <w:r>
              <w:rPr>
                <w:highlight w:val="white"/>
              </w:rPr>
              <w:t>п/п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0206" w:leader="none"/>
              </w:tabs>
              <w:ind w:firstLine="426"/>
              <w:jc w:val="center"/>
              <w:rPr>
                <w:highlight w:val="yellow"/>
              </w:rPr>
            </w:pPr>
            <w:r>
              <w:rPr>
                <w:highlight w:val="white"/>
              </w:rPr>
              <w:t>Критерии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0206" w:leader="none"/>
              </w:tabs>
              <w:ind w:firstLine="426"/>
              <w:jc w:val="center"/>
              <w:rPr>
                <w:highlight w:val="yellow"/>
              </w:rPr>
            </w:pPr>
            <w:r>
              <w:rPr>
                <w:highlight w:val="white"/>
              </w:rPr>
              <w:t>Удельный вес, %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0206" w:leader="none"/>
              </w:tabs>
              <w:ind w:firstLine="426"/>
              <w:jc w:val="center"/>
              <w:rPr>
                <w:highlight w:val="yellow"/>
              </w:rPr>
            </w:pPr>
            <w:r>
              <w:rPr>
                <w:highlight w:val="white"/>
              </w:rPr>
              <w:t>Количество баллов</w:t>
            </w:r>
          </w:p>
        </w:tc>
      </w:tr>
      <w:tr>
        <w:trPr/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0206" w:leader="none"/>
              </w:tabs>
              <w:jc w:val="center"/>
              <w:rPr>
                <w:highlight w:val="yellow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0206" w:leader="none"/>
              </w:tabs>
              <w:jc w:val="both"/>
              <w:rPr/>
            </w:pPr>
            <w:r>
              <w:rPr>
                <w:highlight w:val="white"/>
              </w:rPr>
              <w:t>Стоимость выполнения работ без учёта НДС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0206" w:leader="none"/>
              </w:tabs>
              <w:ind w:firstLine="426"/>
              <w:jc w:val="center"/>
              <w:rPr>
                <w:highlight w:val="white"/>
              </w:rPr>
            </w:pPr>
            <w:r>
              <w:rPr>
                <w:highlight w:val="white"/>
              </w:rPr>
              <w:t>90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0206" w:leader="none"/>
              </w:tabs>
              <w:ind w:firstLine="426"/>
              <w:jc w:val="center"/>
              <w:rPr>
                <w:highlight w:val="white"/>
              </w:rPr>
            </w:pPr>
            <w:r>
              <w:rPr>
                <w:highlight w:val="white"/>
              </w:rPr>
              <w:t>90</w:t>
            </w:r>
          </w:p>
        </w:tc>
      </w:tr>
      <w:tr>
        <w:trPr/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0206" w:leader="none"/>
              </w:tabs>
              <w:jc w:val="center"/>
              <w:rPr/>
            </w:pPr>
            <w:r>
              <w:rPr/>
              <w:t>2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0206" w:leader="none"/>
              </w:tabs>
              <w:ind w:hanging="0"/>
              <w:jc w:val="both"/>
              <w:rPr/>
            </w:pPr>
            <w:r>
              <w:rPr/>
              <w:t>Отсрочка платежа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0206" w:leader="none"/>
              </w:tabs>
              <w:ind w:firstLine="426"/>
              <w:jc w:val="center"/>
              <w:rPr/>
            </w:pPr>
            <w:r>
              <w:rPr/>
              <w:t>10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0206" w:leader="none"/>
              </w:tabs>
              <w:ind w:firstLine="426"/>
              <w:jc w:val="center"/>
              <w:rPr/>
            </w:pPr>
            <w:r>
              <w:rPr/>
              <w:t>10</w:t>
            </w:r>
          </w:p>
        </w:tc>
      </w:tr>
    </w:tbl>
    <w:p>
      <w:pPr>
        <w:pStyle w:val="Normal"/>
        <w:ind w:firstLine="708"/>
        <w:jc w:val="both"/>
        <w:rPr/>
      </w:pPr>
      <w:r>
        <w:rPr>
          <w:b/>
        </w:rPr>
        <w:t>Цена.</w:t>
      </w:r>
      <w:r>
        <w:rPr/>
        <w:t xml:space="preserve"> Участник, предложивший наименьшую цену, получает 90 баллов. Другие предложения претендентов оцениваются по формуле: Ц</w:t>
      </w:r>
      <w:r>
        <w:rPr>
          <w:lang w:val="en-US"/>
        </w:rPr>
        <w:t>min</w:t>
      </w:r>
      <w:r>
        <w:rPr/>
        <w:t xml:space="preserve"> (цена минимальная участника)/ Ц</w:t>
      </w:r>
      <w:r>
        <w:rPr>
          <w:lang w:val="en-US"/>
        </w:rPr>
        <w:t>i</w:t>
      </w:r>
      <w:r>
        <w:rPr/>
        <w:t xml:space="preserve"> (цена итого претендента) х 90 баллов</w:t>
      </w:r>
      <w:r>
        <w:rPr>
          <w:b/>
        </w:rPr>
        <w:t xml:space="preserve">. </w:t>
      </w:r>
      <w:r>
        <w:rPr/>
        <w:t>При сравнении цена предложения участника определяется без учета НДС.</w:t>
      </w:r>
    </w:p>
    <w:p>
      <w:pPr>
        <w:pStyle w:val="Normal"/>
        <w:ind w:firstLine="709"/>
        <w:rPr>
          <w:rFonts w:eastAsia="Courier New"/>
          <w:b/>
          <w:b/>
          <w:color w:val="000000"/>
        </w:rPr>
      </w:pPr>
      <w:r>
        <w:rPr>
          <w:b/>
        </w:rPr>
        <w:t>Условия платежа.</w:t>
      </w:r>
      <w:r>
        <w:rPr>
          <w:rFonts w:eastAsia="Courier New"/>
          <w:b/>
          <w:color w:val="000000"/>
        </w:rPr>
        <w:t xml:space="preserve"> </w:t>
      </w:r>
      <w:r>
        <w:rPr>
          <w:rFonts w:eastAsia="Courier New"/>
          <w:color w:val="000000"/>
        </w:rPr>
        <w:t>Участник, предложивший максимальное количество дней отсрочки по факту получает Ф</w:t>
      </w:r>
      <w:r>
        <w:rPr>
          <w:rFonts w:eastAsia="Courier New"/>
          <w:color w:val="000000"/>
          <w:vertAlign w:val="subscript"/>
          <w:lang w:val="en-US"/>
        </w:rPr>
        <w:t>max</w:t>
      </w:r>
      <w:r>
        <w:rPr>
          <w:rFonts w:eastAsia="Courier New"/>
          <w:color w:val="000000"/>
        </w:rPr>
        <w:t>=10 баллов.</w:t>
      </w:r>
      <w:r>
        <w:rPr>
          <w:rFonts w:eastAsia="Courier New"/>
          <w:b/>
          <w:color w:val="000000"/>
        </w:rPr>
        <w:t xml:space="preserve"> </w:t>
      </w:r>
      <w:r>
        <w:rPr/>
        <w:t xml:space="preserve">Другие условия по срокам оплаты по факту, указанные в предложениях, оценивается относительно максимального количества дней отсрочки по факту по формуле: </w:t>
      </w:r>
      <w:r>
        <w:rPr>
          <w:rFonts w:eastAsia="Courier New"/>
          <w:color w:val="000000"/>
        </w:rPr>
        <w:t>10* Ф/ Ф</w:t>
      </w:r>
      <w:r>
        <w:rPr>
          <w:rFonts w:eastAsia="Courier New"/>
          <w:color w:val="000000"/>
          <w:vertAlign w:val="subscript"/>
          <w:lang w:val="en-US"/>
        </w:rPr>
        <w:t>max</w:t>
      </w:r>
    </w:p>
    <w:p>
      <w:pPr>
        <w:pStyle w:val="Normal"/>
        <w:ind w:firstLine="708"/>
        <w:jc w:val="both"/>
        <w:rPr/>
      </w:pPr>
      <w:r>
        <w:rPr>
          <w:b/>
        </w:rPr>
        <w:t>Претенденты, предложившие сроки выполнения работ большие, чем указано в пункте 4.2. настоящей документации, отклоняются от участия в переговорах</w:t>
      </w:r>
      <w:r>
        <w:rPr/>
        <w:t>. Начало и окончание сроков выполнения работ участника должны быть указаны датой, месяцем и годом.</w:t>
      </w:r>
    </w:p>
    <w:p>
      <w:pPr>
        <w:pStyle w:val="Normal"/>
        <w:jc w:val="both"/>
        <w:rPr/>
      </w:pPr>
      <w:r>
        <w:rPr/>
        <w:t>15.3. Итоговая стоимость предложения участника принимается конкурсной комиссией для оценки с учетом критериев и способа оценки согласно настоящей документации для переговоров.</w:t>
      </w:r>
    </w:p>
    <w:p>
      <w:pPr>
        <w:pStyle w:val="Normal"/>
        <w:tabs>
          <w:tab w:val="clear" w:pos="709"/>
          <w:tab w:val="left" w:pos="10206" w:leader="none"/>
        </w:tabs>
        <w:jc w:val="both"/>
        <w:rPr/>
      </w:pPr>
      <w:r>
        <w:rPr/>
        <w:t>15.4. Заказчик переговоров извещает Участников о результатах их проведения в письменной форме в течение трех рабочих дней со дня принятия решения по выбору победителя переговоров. Решение о выборе победителя переговоров считается принятым с даты утверждения руководителем Заказчика протокола о проведении переговоров.</w:t>
      </w:r>
    </w:p>
    <w:p>
      <w:pPr>
        <w:pStyle w:val="Normal"/>
        <w:tabs>
          <w:tab w:val="clear" w:pos="709"/>
          <w:tab w:val="left" w:pos="10206" w:leader="none"/>
        </w:tabs>
        <w:jc w:val="both"/>
        <w:rPr/>
      </w:pPr>
      <w:r>
        <w:rPr/>
        <w:t>15.5. Конкурсная комиссия осуществляет рассмотрение и изучение предложений Участников в течение (20) рабочих дней со дня вскрытия конвертов с этими предложениями.</w:t>
      </w:r>
    </w:p>
    <w:p>
      <w:pPr>
        <w:pStyle w:val="Newncpi"/>
        <w:tabs>
          <w:tab w:val="clear" w:pos="709"/>
          <w:tab w:val="left" w:pos="10206" w:leader="none"/>
        </w:tabs>
        <w:ind w:hanging="0"/>
        <w:rPr/>
      </w:pPr>
      <w:r>
        <w:rPr/>
        <w:t>16. Переговоры признаются несостоявшимися в случаях, если:</w:t>
      </w:r>
    </w:p>
    <w:p>
      <w:pPr>
        <w:pStyle w:val="Newncpi"/>
        <w:tabs>
          <w:tab w:val="clear" w:pos="709"/>
          <w:tab w:val="left" w:pos="10206" w:leader="none"/>
        </w:tabs>
        <w:ind w:hanging="0"/>
        <w:rPr/>
      </w:pPr>
      <w:r>
        <w:rPr/>
        <w:t>16.1. Заказчиком не утвержден протокол заседания конкурсной комиссии по выбору победителя переговоров;</w:t>
      </w:r>
    </w:p>
    <w:p>
      <w:pPr>
        <w:pStyle w:val="Newncpi"/>
        <w:shd w:val="clear" w:color="auto" w:fill="FFFFFF"/>
        <w:tabs>
          <w:tab w:val="clear" w:pos="709"/>
          <w:tab w:val="left" w:pos="10206" w:leader="none"/>
        </w:tabs>
        <w:ind w:hanging="0"/>
        <w:rPr/>
      </w:pPr>
      <w:r>
        <w:rPr/>
        <w:t>16.2. Конкурсной комиссией при соответствующем письменном обосновании в указанном протоколе Участник не признан победителем переговоров;</w:t>
      </w:r>
    </w:p>
    <w:p>
      <w:pPr>
        <w:pStyle w:val="Newncpi"/>
        <w:shd w:val="clear" w:color="auto" w:fill="FFFFFF"/>
        <w:tabs>
          <w:tab w:val="clear" w:pos="709"/>
          <w:tab w:val="left" w:pos="10206" w:leader="none"/>
        </w:tabs>
        <w:ind w:hanging="0"/>
        <w:rPr/>
      </w:pPr>
      <w:r>
        <w:rPr/>
        <w:t xml:space="preserve">16.3. Победитель переговоров отказался от заключения договора, и конкурсной комиссией не принято решение </w:t>
      </w:r>
      <w:r>
        <w:rPr>
          <w:color w:val="000000"/>
        </w:rPr>
        <w:t>выбрать победителем участника, предложение которого заняло второе место;</w:t>
      </w:r>
    </w:p>
    <w:p>
      <w:pPr>
        <w:pStyle w:val="Justify"/>
        <w:tabs>
          <w:tab w:val="clear" w:pos="709"/>
          <w:tab w:val="left" w:pos="10206" w:leader="none"/>
        </w:tabs>
        <w:ind w:hanging="0"/>
        <w:rPr/>
      </w:pPr>
      <w:r>
        <w:rPr/>
        <w:t>16.4. Не подано ни одного предложения на переговоры;</w:t>
      </w:r>
    </w:p>
    <w:p>
      <w:pPr>
        <w:pStyle w:val="Justify"/>
        <w:tabs>
          <w:tab w:val="clear" w:pos="709"/>
          <w:tab w:val="left" w:pos="10206" w:leader="none"/>
        </w:tabs>
        <w:ind w:hanging="0"/>
        <w:rPr/>
      </w:pPr>
      <w:r>
        <w:rPr/>
        <w:t>16.5. Отклонены все предложения, в том числе как содержащие экономически невыгодные условия.</w:t>
      </w:r>
    </w:p>
    <w:p>
      <w:pPr>
        <w:pStyle w:val="Justify"/>
        <w:tabs>
          <w:tab w:val="clear" w:pos="709"/>
          <w:tab w:val="left" w:pos="10206" w:leader="none"/>
        </w:tabs>
        <w:ind w:hanging="0"/>
        <w:rPr/>
      </w:pPr>
      <w:r>
        <w:rPr/>
        <w:t>17. Заказчик обязуется:</w:t>
      </w:r>
    </w:p>
    <w:p>
      <w:pPr>
        <w:pStyle w:val="Normal"/>
        <w:tabs>
          <w:tab w:val="clear" w:pos="709"/>
          <w:tab w:val="left" w:pos="10206" w:leader="none"/>
        </w:tabs>
        <w:jc w:val="both"/>
        <w:rPr/>
      </w:pPr>
      <w:r>
        <w:rPr/>
        <w:t>17.1. Подвести итоги переговоров при объективном, равном подходе к предложениям всех участников и осуществлять выбор победителя исходя из критериев, содержащихся в документации на переговоры;</w:t>
      </w:r>
    </w:p>
    <w:p>
      <w:pPr>
        <w:pStyle w:val="Normal"/>
        <w:tabs>
          <w:tab w:val="clear" w:pos="709"/>
          <w:tab w:val="left" w:pos="10206" w:leader="none"/>
        </w:tabs>
        <w:jc w:val="both"/>
        <w:rPr/>
      </w:pPr>
      <w:r>
        <w:rPr/>
        <w:t xml:space="preserve">17.2. Давать разъяснения участнику в отношении документации; </w:t>
      </w:r>
    </w:p>
    <w:p>
      <w:pPr>
        <w:pStyle w:val="Normal"/>
        <w:tabs>
          <w:tab w:val="clear" w:pos="709"/>
          <w:tab w:val="left" w:pos="10206" w:leader="none"/>
        </w:tabs>
        <w:jc w:val="both"/>
        <w:rPr/>
      </w:pPr>
      <w:r>
        <w:rPr/>
        <w:t>17.3. Обеспечивать конфиденциальность проведения переговоров, их результатов, сведений, составляющих коммерческую тайну.</w:t>
      </w:r>
    </w:p>
    <w:p>
      <w:pPr>
        <w:pStyle w:val="Normal"/>
        <w:tabs>
          <w:tab w:val="clear" w:pos="709"/>
          <w:tab w:val="left" w:pos="10206" w:leader="none"/>
        </w:tabs>
        <w:jc w:val="both"/>
        <w:rPr/>
      </w:pPr>
      <w:r>
        <w:rPr/>
        <w:t>18. Права Заказчика:</w:t>
      </w:r>
    </w:p>
    <w:p>
      <w:pPr>
        <w:pStyle w:val="Normal"/>
        <w:tabs>
          <w:tab w:val="clear" w:pos="709"/>
          <w:tab w:val="left" w:pos="10206" w:leader="none"/>
        </w:tabs>
        <w:jc w:val="both"/>
        <w:rPr/>
      </w:pPr>
      <w:r>
        <w:rPr/>
        <w:t xml:space="preserve">18.1. Заказчик оставляет за собой право на отказ от проведения переговоров в любой срок без возмещения участнику убытков. </w:t>
      </w:r>
    </w:p>
    <w:p>
      <w:pPr>
        <w:pStyle w:val="Normal"/>
        <w:tabs>
          <w:tab w:val="clear" w:pos="709"/>
          <w:tab w:val="left" w:pos="10206" w:leader="none"/>
        </w:tabs>
        <w:jc w:val="both"/>
        <w:rPr/>
      </w:pPr>
      <w:r>
        <w:rPr/>
        <w:t>18.2. Заказчик имеет право отменить процедуру на любом этапе в случаях отсутствия финансирования, утраты необходимости приобретения товаров (работ, услуг), изменения предмета закупки и (или) требований к квалификационным данным участников процедуры переговоров.</w:t>
      </w:r>
    </w:p>
    <w:p>
      <w:pPr>
        <w:pStyle w:val="Normal"/>
        <w:jc w:val="both"/>
        <w:rPr/>
      </w:pPr>
      <w:r>
        <w:rPr/>
        <w:t>18.3. Комиссия оставляет за собой право</w:t>
      </w:r>
      <w:r>
        <w:rPr>
          <w:b/>
        </w:rPr>
        <w:t xml:space="preserve"> </w:t>
      </w:r>
      <w:r>
        <w:rPr/>
        <w:t>принимать или отвергать любое предложение для переговоров, а также прекратить процесс переговоров и отказаться от всех предложений в любое время до присуждения договора (контракта), не неся при этом никакой ответственности перед участником или участниками переговоров, которым такое действие могло нанести ущерб, а так же каких-либо обязательств по информированию указанного участника или участников относительно причин такого действия. В данном случаи процедура переговоров признается несостоявшейся.</w:t>
      </w:r>
    </w:p>
    <w:p>
      <w:pPr>
        <w:pStyle w:val="Normal"/>
        <w:tabs>
          <w:tab w:val="clear" w:pos="709"/>
          <w:tab w:val="left" w:pos="10206" w:leader="none"/>
        </w:tabs>
        <w:jc w:val="both"/>
        <w:rPr/>
      </w:pPr>
      <w:r>
        <w:rPr/>
        <w:t>18.4. Заказчик имеет право отказаться от заключения договора и не несет никаких обязательств в случае, если после принятия решения о выборе предложения участника, признании его победителем процедуры закупки, до заключения договора.</w:t>
      </w:r>
    </w:p>
    <w:p>
      <w:pPr>
        <w:pStyle w:val="Normal"/>
        <w:tabs>
          <w:tab w:val="clear" w:pos="709"/>
          <w:tab w:val="left" w:pos="10206" w:leader="none"/>
        </w:tabs>
        <w:jc w:val="both"/>
        <w:rPr/>
      </w:pPr>
      <w:r>
        <w:rPr/>
        <w:t>18.5. Если в ходе переговоров Заказчиком переговоров изменяются ранее установленные требования к предмету заказа и (или) условиям договора, такие изменения согласуются и утверждаются в порядке, определенном для согласования и утверждения документации для переговоров, и доводятся  участникам переговоров в срок не позднее двух рабочих дней с момента их утверждения Заказчиком переговоров.</w:t>
      </w:r>
    </w:p>
    <w:p>
      <w:pPr>
        <w:pStyle w:val="Normal"/>
        <w:tabs>
          <w:tab w:val="clear" w:pos="709"/>
          <w:tab w:val="left" w:pos="10206" w:leader="none"/>
        </w:tabs>
        <w:jc w:val="both"/>
        <w:rPr/>
      </w:pPr>
      <w:r>
        <w:rPr/>
        <w:t>19. Порядок заключения договоров.</w:t>
      </w:r>
    </w:p>
    <w:p>
      <w:pPr>
        <w:pStyle w:val="Normal"/>
        <w:tabs>
          <w:tab w:val="clear" w:pos="709"/>
          <w:tab w:val="left" w:pos="10206" w:leader="none"/>
        </w:tabs>
        <w:jc w:val="both"/>
        <w:rPr/>
      </w:pPr>
      <w:r>
        <w:rPr/>
        <w:t xml:space="preserve">19.1. До истечения срока действия предложения Заказчик и участник, ставший победителем, подписывают договор в срок не позднее 10 календарных дней от даты утверждения результатов переговоров. Проект договора, в котором содержатся основные требования к участнику (в случае выбора его победителем) приведен в </w:t>
      </w:r>
      <w:r>
        <w:rPr>
          <w:i/>
        </w:rPr>
        <w:t>приложении №1</w:t>
      </w:r>
      <w:r>
        <w:rPr/>
        <w:t xml:space="preserve"> к настоящей документации. Считается, что Участник представивший свое предложение на переговоры согласен и принимает условия договора, указанного в проекте договора.</w:t>
      </w:r>
    </w:p>
    <w:p>
      <w:pPr>
        <w:pStyle w:val="Normal"/>
        <w:tabs>
          <w:tab w:val="clear" w:pos="709"/>
          <w:tab w:val="left" w:pos="10206" w:leader="none"/>
        </w:tabs>
        <w:jc w:val="both"/>
        <w:rPr/>
      </w:pPr>
      <w:r>
        <w:rPr/>
        <w:t>19.2. В заключаемый договор включаются существенные условия, сформированные по результатам проведения переговоров. Изменения в текст договора допускается вносить только по согласованию с Заказчиком.</w:t>
      </w:r>
    </w:p>
    <w:p>
      <w:pPr>
        <w:pStyle w:val="Normal"/>
        <w:tabs>
          <w:tab w:val="clear" w:pos="709"/>
          <w:tab w:val="left" w:pos="10206" w:leader="none"/>
        </w:tabs>
        <w:jc w:val="both"/>
        <w:rPr>
          <w:lang w:eastAsia="en-US"/>
        </w:rPr>
      </w:pPr>
      <w:r>
        <w:rPr>
          <w:lang w:eastAsia="en-US"/>
        </w:rPr>
        <w:t>19.3.Приложения:</w:t>
      </w:r>
    </w:p>
    <w:p>
      <w:pPr>
        <w:pStyle w:val="Normal"/>
        <w:tabs>
          <w:tab w:val="clear" w:pos="709"/>
          <w:tab w:val="left" w:pos="10206" w:leader="none"/>
        </w:tabs>
        <w:jc w:val="both"/>
        <w:rPr/>
      </w:pPr>
      <w:r>
        <w:rPr>
          <w:lang w:eastAsia="en-US"/>
        </w:rPr>
        <w:t xml:space="preserve">№ </w:t>
      </w:r>
      <w:r>
        <w:rPr>
          <w:lang w:eastAsia="en-US"/>
        </w:rPr>
        <w:t>1 - проект договора на разработку проектно-сметной документации;</w:t>
      </w:r>
    </w:p>
    <w:p>
      <w:pPr>
        <w:pStyle w:val="Normal"/>
        <w:tabs>
          <w:tab w:val="clear" w:pos="709"/>
          <w:tab w:val="left" w:pos="10206" w:leader="none"/>
        </w:tabs>
        <w:jc w:val="both"/>
        <w:rPr/>
      </w:pPr>
      <w:r>
        <w:rPr>
          <w:lang w:eastAsia="en-US"/>
        </w:rPr>
        <w:t xml:space="preserve">№ </w:t>
      </w:r>
      <w:r>
        <w:rPr>
          <w:lang w:eastAsia="en-US"/>
        </w:rPr>
        <w:t xml:space="preserve">2 -  решение </w:t>
      </w:r>
      <w:r>
        <w:rPr>
          <w:lang w:eastAsia="en-US"/>
        </w:rPr>
        <w:t>Лидского</w:t>
      </w:r>
      <w:r>
        <w:rPr>
          <w:lang w:eastAsia="en-US"/>
        </w:rPr>
        <w:t xml:space="preserve"> РИК № </w:t>
      </w:r>
      <w:r>
        <w:rPr>
          <w:lang w:eastAsia="en-US"/>
        </w:rPr>
        <w:t>630</w:t>
      </w:r>
      <w:r>
        <w:rPr>
          <w:lang w:eastAsia="en-US"/>
        </w:rPr>
        <w:t xml:space="preserve"> от </w:t>
      </w:r>
      <w:r>
        <w:rPr>
          <w:lang w:eastAsia="en-US"/>
        </w:rPr>
        <w:t>07.06.2022</w:t>
      </w:r>
      <w:r>
        <w:rPr>
          <w:lang w:eastAsia="en-US"/>
        </w:rPr>
        <w:t xml:space="preserve"> г</w:t>
      </w:r>
    </w:p>
    <w:p>
      <w:pPr>
        <w:pStyle w:val="Normal"/>
        <w:tabs>
          <w:tab w:val="clear" w:pos="709"/>
          <w:tab w:val="left" w:pos="10206" w:leader="none"/>
        </w:tabs>
        <w:jc w:val="both"/>
        <w:rPr/>
      </w:pPr>
      <w:r>
        <w:rPr>
          <w:w w:val="100"/>
          <w:sz w:val="24"/>
          <w:szCs w:val="24"/>
        </w:rPr>
        <w:t xml:space="preserve">№ </w:t>
      </w:r>
      <w:r>
        <w:rPr>
          <w:w w:val="100"/>
          <w:sz w:val="24"/>
          <w:szCs w:val="24"/>
        </w:rPr>
        <w:t xml:space="preserve">3 - архитектурно-планировочное задание № </w:t>
      </w:r>
      <w:r>
        <w:rPr>
          <w:w w:val="100"/>
          <w:sz w:val="24"/>
          <w:szCs w:val="24"/>
        </w:rPr>
        <w:t>109</w:t>
      </w:r>
      <w:r>
        <w:rPr>
          <w:w w:val="100"/>
          <w:sz w:val="24"/>
          <w:szCs w:val="24"/>
        </w:rPr>
        <w:t xml:space="preserve"> от </w:t>
      </w:r>
      <w:r>
        <w:rPr>
          <w:w w:val="100"/>
          <w:sz w:val="24"/>
          <w:szCs w:val="24"/>
        </w:rPr>
        <w:t>07.06.2022</w:t>
      </w:r>
      <w:r>
        <w:rPr>
          <w:w w:val="100"/>
          <w:sz w:val="24"/>
          <w:szCs w:val="24"/>
        </w:rPr>
        <w:t xml:space="preserve"> г.;</w:t>
      </w:r>
    </w:p>
    <w:p>
      <w:pPr>
        <w:pStyle w:val="Normal"/>
        <w:tabs>
          <w:tab w:val="clear" w:pos="709"/>
          <w:tab w:val="left" w:pos="10206" w:leader="none"/>
        </w:tabs>
        <w:jc w:val="both"/>
        <w:rPr/>
      </w:pPr>
      <w:r>
        <w:rPr>
          <w:w w:val="100"/>
          <w:sz w:val="24"/>
          <w:szCs w:val="24"/>
        </w:rPr>
        <w:t xml:space="preserve">№ </w:t>
      </w:r>
      <w:r>
        <w:rPr>
          <w:w w:val="100"/>
          <w:sz w:val="24"/>
          <w:szCs w:val="24"/>
        </w:rPr>
        <w:t xml:space="preserve">4 - задание на проектирование от </w:t>
      </w:r>
      <w:r>
        <w:rPr>
          <w:w w:val="100"/>
          <w:sz w:val="24"/>
          <w:szCs w:val="24"/>
          <w:shd w:fill="FFFFFF" w:val="clear"/>
        </w:rPr>
        <w:t>16.05.2022 г.;</w:t>
      </w:r>
    </w:p>
    <w:p>
      <w:pPr>
        <w:pStyle w:val="Normal"/>
        <w:tabs>
          <w:tab w:val="clear" w:pos="709"/>
          <w:tab w:val="left" w:pos="10206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10206" w:leader="none"/>
        </w:tabs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</w:r>
    </w:p>
    <w:p>
      <w:pPr>
        <w:pStyle w:val="Normal"/>
        <w:jc w:val="both"/>
        <w:rPr/>
      </w:pPr>
      <w:r>
        <w:rPr>
          <w:b w:val="false"/>
          <w:bCs w:val="false"/>
        </w:rPr>
        <w:t>Председатель конкурсной комиссии:</w:t>
        <w:tab/>
        <w:tab/>
        <w:tab/>
        <w:tab/>
        <w:tab/>
        <w:tab/>
        <w:t>Ю.М.Ропейко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/>
      </w:r>
    </w:p>
    <w:p>
      <w:pPr>
        <w:pStyle w:val="Normal"/>
        <w:jc w:val="both"/>
        <w:rPr/>
      </w:pPr>
      <w:r>
        <w:rPr>
          <w:b w:val="false"/>
          <w:bCs w:val="false"/>
        </w:rPr>
        <w:t>Заместитель председателя конкурсной комиссии:</w:t>
        <w:tab/>
        <w:tab/>
        <w:tab/>
        <w:tab/>
      </w:r>
      <w:r>
        <w:rPr>
          <w:rFonts w:eastAsia="SimSun;宋体"/>
          <w:b w:val="false"/>
          <w:bCs/>
          <w:color w:val="00000A"/>
          <w:spacing w:val="-6"/>
          <w:kern w:val="2"/>
          <w:sz w:val="24"/>
          <w:szCs w:val="24"/>
          <w:lang w:eastAsia="ru-RU" w:bidi="hi-IN"/>
        </w:rPr>
        <w:t>С.Л. Поликша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Секретарь конкурсной комиссии:</w:t>
        <w:tab/>
        <w:tab/>
        <w:tab/>
        <w:tab/>
        <w:tab/>
        <w:tab/>
        <w:tab/>
        <w:t>И.И. Халько</w:t>
      </w:r>
    </w:p>
    <w:p>
      <w:pPr>
        <w:pStyle w:val="Normal"/>
        <w:tabs>
          <w:tab w:val="clear" w:pos="709"/>
          <w:tab w:val="left" w:pos="6379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Члены конкурсной комиссии: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Начальник группы по учету основных средств и материалов</w:t>
        <w:tab/>
        <w:tab/>
        <w:tab/>
        <w:t>Е.А. Цвирко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Начальник контрольно-ревизионного отдела</w:t>
      </w:r>
      <w:bookmarkStart w:id="3" w:name="__DdeLink__623_4240660147"/>
      <w:r>
        <w:rPr>
          <w:sz w:val="24"/>
          <w:szCs w:val="24"/>
        </w:rPr>
        <w:tab/>
        <w:tab/>
        <w:tab/>
        <w:tab/>
        <w:tab/>
        <w:t>А.З. Диковская</w:t>
      </w:r>
      <w:bookmarkEnd w:id="3"/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Ведущий инженер по охране труда</w:t>
        <w:tab/>
        <w:tab/>
        <w:tab/>
        <w:tab/>
        <w:tab/>
        <w:tab/>
        <w:t>В.И. Радион</w:t>
      </w:r>
    </w:p>
    <w:p>
      <w:pPr>
        <w:pStyle w:val="Normal"/>
        <w:jc w:val="both"/>
        <w:rPr>
          <w:rFonts w:eastAsia="SimSun;宋体"/>
          <w:bCs/>
          <w:color w:val="00000A"/>
          <w:spacing w:val="-6"/>
          <w:kern w:val="2"/>
          <w:sz w:val="24"/>
          <w:szCs w:val="24"/>
          <w:lang w:eastAsia="ru-RU" w:bidi="hi-IN"/>
        </w:rPr>
      </w:pPr>
      <w:r>
        <w:rPr>
          <w:rFonts w:eastAsia="SimSun;宋体"/>
          <w:bCs/>
          <w:color w:val="00000A"/>
          <w:spacing w:val="-6"/>
          <w:kern w:val="2"/>
          <w:sz w:val="24"/>
          <w:szCs w:val="24"/>
          <w:lang w:eastAsia="ru-RU" w:bidi="hi-IN"/>
        </w:rPr>
      </w:r>
    </w:p>
    <w:p>
      <w:pPr>
        <w:pStyle w:val="Normal"/>
        <w:widowControl w:val="false"/>
        <w:tabs>
          <w:tab w:val="clear" w:pos="709"/>
          <w:tab w:val="left" w:pos="6379" w:leader="none"/>
        </w:tabs>
        <w:ind w:right="-22" w:hanging="0"/>
        <w:jc w:val="both"/>
        <w:rPr/>
      </w:pPr>
      <w:r>
        <w:rPr>
          <w:sz w:val="24"/>
          <w:szCs w:val="24"/>
        </w:rPr>
        <w:t xml:space="preserve">Заведующий ЦРА № </w:t>
      </w:r>
      <w:r>
        <w:rPr>
          <w:sz w:val="24"/>
          <w:szCs w:val="24"/>
        </w:rPr>
        <w:t>14</w:t>
      </w:r>
      <w:r>
        <w:rPr>
          <w:sz w:val="24"/>
          <w:szCs w:val="24"/>
        </w:rPr>
        <w:t xml:space="preserve">6 </w:t>
      </w:r>
      <w:r>
        <w:rPr>
          <w:sz w:val="24"/>
          <w:szCs w:val="24"/>
        </w:rPr>
        <w:t>Лидского</w:t>
      </w:r>
      <w:r>
        <w:rPr>
          <w:sz w:val="24"/>
          <w:szCs w:val="24"/>
        </w:rPr>
        <w:t xml:space="preserve"> района</w:t>
        <w:tab/>
        <w:tab/>
        <w:tab/>
        <w:tab/>
      </w:r>
      <w:r>
        <w:rPr>
          <w:sz w:val="24"/>
          <w:szCs w:val="24"/>
        </w:rPr>
        <w:t>Р.И. Лопато</w:t>
      </w:r>
    </w:p>
    <w:sectPr>
      <w:headerReference w:type="default" r:id="rId2"/>
      <w:footerReference w:type="default" r:id="rId3"/>
      <w:type w:val="nextPage"/>
      <w:pgSz w:w="11906" w:h="16838"/>
      <w:pgMar w:left="993" w:right="707" w:header="280" w:top="426" w:footer="406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swiss"/>
    <w:pitch w:val="variable"/>
  </w:font>
  <w:font w:name="Tahoma">
    <w:charset w:val="cc"/>
    <w:family w:val="roman"/>
    <w:pitch w:val="variable"/>
  </w:font>
  <w:font w:name="QuantAntiqua">
    <w:altName w:val="Arial Narrow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Style31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8">
              <wp:simplePos x="0" y="0"/>
              <wp:positionH relativeFrom="column">
                <wp:align>left</wp:align>
              </wp:positionH>
              <wp:positionV relativeFrom="paragraph">
                <wp:posOffset>635</wp:posOffset>
              </wp:positionV>
              <wp:extent cx="6485890" cy="355600"/>
              <wp:effectExtent l="0" t="0" r="0" b="0"/>
              <wp:wrapNone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5400" cy="35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32"/>
                            <w:rPr>
                              <w:i/>
                              <w:i/>
                              <w:color w:val="FFFFFF"/>
                            </w:rPr>
                          </w:pPr>
                          <w:r>
                            <w:rPr>
                              <w:i/>
                              <w:color w:val="FFFFFF"/>
                            </w:rPr>
                            <w:t>версия соответствует оригиналу</w:t>
                          </w:r>
                        </w:p>
                        <w:p>
                          <w:pPr>
                            <w:pStyle w:val="Style37"/>
                            <w:rPr>
                              <w:i/>
                              <w:i/>
                              <w:color w:val="FFFFFF"/>
                            </w:rPr>
                          </w:pPr>
                          <w:r>
                            <w:rPr>
                              <w:i/>
                              <w:color w:val="FFFFFF"/>
                            </w:rPr>
                          </w:r>
                        </w:p>
                      </w:txbxContent>
                    </wps:txbx>
                    <wps:bodyPr lIns="6840" rIns="6840" tIns="6840" bIns="68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0pt;margin-top:0.05pt;width:510.6pt;height:27.9pt;mso-position-horizontal:lef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32"/>
                      <w:rPr>
                        <w:i/>
                        <w:i/>
                        <w:color w:val="FFFFFF"/>
                      </w:rPr>
                    </w:pPr>
                    <w:r>
                      <w:rPr>
                        <w:i/>
                        <w:color w:val="FFFFFF"/>
                      </w:rPr>
                      <w:t>версия соответствует оригиналу</w:t>
                    </w:r>
                  </w:p>
                  <w:p>
                    <w:pPr>
                      <w:pStyle w:val="Style37"/>
                      <w:rPr>
                        <w:i/>
                        <w:i/>
                        <w:color w:val="FFFFFF"/>
                      </w:rPr>
                    </w:pPr>
                    <w:r>
                      <w:rPr>
                        <w:i/>
                        <w:color w:val="FFFFFF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sz w:val="24"/>
        <w:szCs w:val="28"/>
        <w:w w:val="100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ind w:left="0" w:right="-425" w:hanging="0"/>
      <w:jc w:val="both"/>
      <w:outlineLvl w:val="4"/>
    </w:pPr>
    <w:rPr>
      <w:sz w:val="30"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Symbol"/>
      <w:w w:val="100"/>
      <w:sz w:val="28"/>
      <w:szCs w:val="28"/>
    </w:rPr>
  </w:style>
  <w:style w:type="character" w:styleId="WW8Num3z0" w:customStyle="1">
    <w:name w:val="WW8Num3z0"/>
    <w:qFormat/>
    <w:rPr>
      <w:rFonts w:ascii="Symbol" w:hAnsi="Symbol" w:cs="Symbol"/>
      <w:sz w:val="28"/>
      <w:szCs w:val="28"/>
    </w:rPr>
  </w:style>
  <w:style w:type="character" w:styleId="WW8Num4z0" w:customStyle="1">
    <w:name w:val="WW8Num4z0"/>
    <w:qFormat/>
    <w:rPr>
      <w:rFonts w:ascii="Symbol" w:hAnsi="Symbol" w:cs="Symbol"/>
      <w:sz w:val="28"/>
      <w:szCs w:val="28"/>
    </w:rPr>
  </w:style>
  <w:style w:type="character" w:styleId="WW8Num5z0" w:customStyle="1">
    <w:name w:val="WW8Num5z0"/>
    <w:qFormat/>
    <w:rPr/>
  </w:style>
  <w:style w:type="character" w:styleId="WW8Num6z0" w:customStyle="1">
    <w:name w:val="WW8Num6z0"/>
    <w:qFormat/>
    <w:rPr>
      <w:rFonts w:ascii="Symbol" w:hAnsi="Symbol" w:cs="Symbol"/>
      <w:color w:val="000000"/>
      <w:sz w:val="28"/>
      <w:szCs w:val="28"/>
    </w:rPr>
  </w:style>
  <w:style w:type="character" w:styleId="WW8Num7z0" w:customStyle="1">
    <w:name w:val="WW8Num7z0"/>
    <w:qFormat/>
    <w:rPr>
      <w:rFonts w:ascii="Wingdings" w:hAnsi="Wingdings" w:cs="Wingdings"/>
    </w:rPr>
  </w:style>
  <w:style w:type="character" w:styleId="WW8Num8z0" w:customStyle="1">
    <w:name w:val="WW8Num8z0"/>
    <w:qFormat/>
    <w:rPr>
      <w:rFonts w:ascii="Wingdings" w:hAnsi="Wingdings" w:cs="Wingdings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4z1" w:customStyle="1">
    <w:name w:val="WW8Num4z1"/>
    <w:qFormat/>
    <w:rPr>
      <w:b/>
      <w:i w:val="false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9z0" w:customStyle="1">
    <w:name w:val="WW8Num9z0"/>
    <w:qFormat/>
    <w:rPr>
      <w:rFonts w:ascii="Symbol" w:hAnsi="Symbol" w:cs="Symbol"/>
      <w:sz w:val="28"/>
      <w:szCs w:val="28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10z0" w:customStyle="1">
    <w:name w:val="WW8Num10z0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b/>
    </w:rPr>
  </w:style>
  <w:style w:type="character" w:styleId="WW8Num12z1" w:customStyle="1">
    <w:name w:val="WW8Num12z1"/>
    <w:qFormat/>
    <w:rPr>
      <w:sz w:val="28"/>
      <w:u w:val="none"/>
    </w:rPr>
  </w:style>
  <w:style w:type="character" w:styleId="WW8Num13z0" w:customStyle="1">
    <w:name w:val="WW8Num13z0"/>
    <w:qFormat/>
    <w:rPr>
      <w:rFonts w:ascii="Wingdings" w:hAnsi="Wingdings" w:cs="Wingdings"/>
      <w:sz w:val="28"/>
      <w:szCs w:val="28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>
      <w:rFonts w:cs="Times New Roman"/>
    </w:rPr>
  </w:style>
  <w:style w:type="character" w:styleId="WW8Num15z0" w:customStyle="1">
    <w:name w:val="WW8Num15z0"/>
    <w:qFormat/>
    <w:rPr>
      <w:rFonts w:cs="Times New Roman"/>
    </w:rPr>
  </w:style>
  <w:style w:type="character" w:styleId="WW8Num16z0" w:customStyle="1">
    <w:name w:val="WW8Num16z0"/>
    <w:qFormat/>
    <w:rPr>
      <w:b/>
    </w:rPr>
  </w:style>
  <w:style w:type="character" w:styleId="WW8Num16z1" w:customStyle="1">
    <w:name w:val="WW8Num16z1"/>
    <w:qFormat/>
    <w:rPr>
      <w:b/>
      <w:sz w:val="28"/>
      <w:u w:val="none"/>
    </w:rPr>
  </w:style>
  <w:style w:type="character" w:styleId="WW8Num16z2" w:customStyle="1">
    <w:name w:val="WW8Num16z2"/>
    <w:qFormat/>
    <w:rPr>
      <w:sz w:val="28"/>
      <w:u w:val="none"/>
    </w:rPr>
  </w:style>
  <w:style w:type="character" w:styleId="WW8Num17z0" w:customStyle="1">
    <w:name w:val="WW8Num17z0"/>
    <w:qFormat/>
    <w:rPr/>
  </w:style>
  <w:style w:type="character" w:styleId="WW8Num18z0" w:customStyle="1">
    <w:name w:val="WW8Num18z0"/>
    <w:qFormat/>
    <w:rPr>
      <w:rFonts w:ascii="Symbol" w:hAnsi="Symbol" w:cs="Symbol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9z0" w:customStyle="1">
    <w:name w:val="WW8Num19z0"/>
    <w:qFormat/>
    <w:rPr>
      <w:rFonts w:cs="Times New Roman"/>
    </w:rPr>
  </w:style>
  <w:style w:type="character" w:styleId="WW8Num20z0" w:customStyle="1">
    <w:name w:val="WW8Num20z0"/>
    <w:qFormat/>
    <w:rPr>
      <w:rFonts w:ascii="Symbol" w:hAnsi="Symbol" w:cs="Symbol"/>
    </w:rPr>
  </w:style>
  <w:style w:type="character" w:styleId="WW8Num20z1" w:customStyle="1">
    <w:name w:val="WW8Num20z1"/>
    <w:qFormat/>
    <w:rPr>
      <w:rFonts w:ascii="Courier New" w:hAnsi="Courier New" w:cs="Courier New"/>
    </w:rPr>
  </w:style>
  <w:style w:type="character" w:styleId="WW8Num20z2" w:customStyle="1">
    <w:name w:val="WW8Num20z2"/>
    <w:qFormat/>
    <w:rPr>
      <w:rFonts w:ascii="Wingdings" w:hAnsi="Wingdings" w:cs="Wingdings"/>
    </w:rPr>
  </w:style>
  <w:style w:type="character" w:styleId="WW8Num21z0" w:customStyle="1">
    <w:name w:val="WW8Num21z0"/>
    <w:qFormat/>
    <w:rPr>
      <w:rFonts w:ascii="Symbol" w:hAnsi="Symbol" w:cs="Symbol"/>
    </w:rPr>
  </w:style>
  <w:style w:type="character" w:styleId="WW8Num21z1" w:customStyle="1">
    <w:name w:val="WW8Num21z1"/>
    <w:qFormat/>
    <w:rPr>
      <w:rFonts w:ascii="Courier New" w:hAnsi="Courier New" w:cs="Courier New"/>
    </w:rPr>
  </w:style>
  <w:style w:type="character" w:styleId="WW8Num21z2" w:customStyle="1">
    <w:name w:val="WW8Num21z2"/>
    <w:qFormat/>
    <w:rPr>
      <w:rFonts w:ascii="Wingdings" w:hAnsi="Wingdings" w:cs="Wingdings"/>
    </w:rPr>
  </w:style>
  <w:style w:type="character" w:styleId="WW8Num22z0" w:customStyle="1">
    <w:name w:val="WW8Num22z0"/>
    <w:qFormat/>
    <w:rPr>
      <w:rFonts w:cs="Times New Roman"/>
    </w:rPr>
  </w:style>
  <w:style w:type="character" w:styleId="WW8Num23z0" w:customStyle="1">
    <w:name w:val="WW8Num23z0"/>
    <w:qFormat/>
    <w:rPr>
      <w:rFonts w:cs="Times New Roman"/>
    </w:rPr>
  </w:style>
  <w:style w:type="character" w:styleId="WW8Num24z0" w:customStyle="1">
    <w:name w:val="WW8Num24z0"/>
    <w:qFormat/>
    <w:rPr>
      <w:rFonts w:cs="Times New Roman"/>
    </w:rPr>
  </w:style>
  <w:style w:type="character" w:styleId="WW8Num25z0" w:customStyle="1">
    <w:name w:val="WW8Num25z0"/>
    <w:qFormat/>
    <w:rPr/>
  </w:style>
  <w:style w:type="character" w:styleId="WW8Num26z0" w:customStyle="1">
    <w:name w:val="WW8Num26z0"/>
    <w:qFormat/>
    <w:rPr>
      <w:rFonts w:ascii="Times New Roman" w:hAnsi="Times New Roman" w:cs="Times New Roman"/>
    </w:rPr>
  </w:style>
  <w:style w:type="character" w:styleId="WW8Num27z0" w:customStyle="1">
    <w:name w:val="WW8Num27z0"/>
    <w:qFormat/>
    <w:rPr/>
  </w:style>
  <w:style w:type="character" w:styleId="WW8Num28z0" w:customStyle="1">
    <w:name w:val="WW8Num28z0"/>
    <w:qFormat/>
    <w:rPr>
      <w:rFonts w:ascii="Symbol" w:hAnsi="Symbol" w:cs="Symbol"/>
      <w:color w:val="000000"/>
      <w:sz w:val="28"/>
      <w:szCs w:val="28"/>
    </w:rPr>
  </w:style>
  <w:style w:type="character" w:styleId="WW8Num28z1" w:customStyle="1">
    <w:name w:val="WW8Num28z1"/>
    <w:qFormat/>
    <w:rPr>
      <w:rFonts w:ascii="Courier New" w:hAnsi="Courier New" w:cs="Courier New"/>
    </w:rPr>
  </w:style>
  <w:style w:type="character" w:styleId="WW8Num28z2" w:customStyle="1">
    <w:name w:val="WW8Num28z2"/>
    <w:qFormat/>
    <w:rPr>
      <w:rFonts w:ascii="Wingdings" w:hAnsi="Wingdings" w:cs="Wingdings"/>
    </w:rPr>
  </w:style>
  <w:style w:type="character" w:styleId="WW8Num29z0" w:customStyle="1">
    <w:name w:val="WW8Num29z0"/>
    <w:qFormat/>
    <w:rPr/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>
      <w:rFonts w:ascii="Wingdings" w:hAnsi="Wingdings" w:cs="Wingdings"/>
    </w:rPr>
  </w:style>
  <w:style w:type="character" w:styleId="WW8Num30z1" w:customStyle="1">
    <w:name w:val="WW8Num30z1"/>
    <w:qFormat/>
    <w:rPr>
      <w:rFonts w:ascii="Symbol" w:hAnsi="Symbol" w:cs="Symbol"/>
    </w:rPr>
  </w:style>
  <w:style w:type="character" w:styleId="WW8Num30z4" w:customStyle="1">
    <w:name w:val="WW8Num30z4"/>
    <w:qFormat/>
    <w:rPr>
      <w:rFonts w:ascii="Courier New" w:hAnsi="Courier New" w:cs="Courier New"/>
    </w:rPr>
  </w:style>
  <w:style w:type="character" w:styleId="WW8Num31z0" w:customStyle="1">
    <w:name w:val="WW8Num31z0"/>
    <w:qFormat/>
    <w:rPr/>
  </w:style>
  <w:style w:type="character" w:styleId="WW8Num32z0" w:customStyle="1">
    <w:name w:val="WW8Num32z0"/>
    <w:qFormat/>
    <w:rPr>
      <w:u w:val="none"/>
    </w:rPr>
  </w:style>
  <w:style w:type="character" w:styleId="WW8Num32z1" w:customStyle="1">
    <w:name w:val="WW8Num32z1"/>
    <w:qFormat/>
    <w:rPr/>
  </w:style>
  <w:style w:type="character" w:styleId="WW8Num33z0" w:customStyle="1">
    <w:name w:val="WW8Num33z0"/>
    <w:qFormat/>
    <w:rPr/>
  </w:style>
  <w:style w:type="character" w:styleId="WW8NumSt29z0" w:customStyle="1">
    <w:name w:val="WW8NumSt29z0"/>
    <w:qFormat/>
    <w:rPr>
      <w:rFonts w:ascii="Times New Roman" w:hAnsi="Times New Roman" w:cs="Times New Roman"/>
    </w:rPr>
  </w:style>
  <w:style w:type="character" w:styleId="WW8NumSt30z0" w:customStyle="1">
    <w:name w:val="WW8NumSt30z0"/>
    <w:qFormat/>
    <w:rPr>
      <w:rFonts w:ascii="Times New Roman" w:hAnsi="Times New Roman" w:cs="Times New Roman"/>
    </w:rPr>
  </w:style>
  <w:style w:type="character" w:styleId="11" w:customStyle="1">
    <w:name w:val="Подзаголовок Знак1"/>
    <w:qFormat/>
    <w:rPr>
      <w:sz w:val="28"/>
      <w:szCs w:val="28"/>
      <w:lang w:val="ru-RU" w:bidi="ar-SA"/>
    </w:rPr>
  </w:style>
  <w:style w:type="character" w:styleId="Pagenumber">
    <w:name w:val="page number"/>
    <w:basedOn w:val="DefaultParagraphFont"/>
    <w:qFormat/>
    <w:rPr/>
  </w:style>
  <w:style w:type="character" w:styleId="Style10" w:customStyle="1">
    <w:name w:val="Интернет-ссылка"/>
    <w:rPr>
      <w:color w:val="0000FF"/>
      <w:u w:val="single"/>
    </w:rPr>
  </w:style>
  <w:style w:type="character" w:styleId="Style11" w:customStyle="1">
    <w:name w:val="Подзаголовок Знак"/>
    <w:qFormat/>
    <w:rPr>
      <w:color w:val="000000"/>
      <w:w w:val="93"/>
      <w:sz w:val="28"/>
      <w:szCs w:val="28"/>
      <w:lang w:val="ru-RU" w:bidi="ar-SA"/>
    </w:rPr>
  </w:style>
  <w:style w:type="character" w:styleId="13pt" w:customStyle="1">
    <w:name w:val="Обычный + 13 pt"/>
    <w:qFormat/>
    <w:rPr>
      <w:sz w:val="26"/>
      <w:szCs w:val="26"/>
    </w:rPr>
  </w:style>
  <w:style w:type="character" w:styleId="125pt" w:customStyle="1">
    <w:name w:val="Обычный + 12;5 pt Знак"/>
    <w:qFormat/>
    <w:rPr>
      <w:sz w:val="25"/>
      <w:szCs w:val="25"/>
      <w:lang w:val="ru-RU" w:bidi="ar-SA"/>
    </w:rPr>
  </w:style>
  <w:style w:type="character" w:styleId="Style12" w:customStyle="1">
    <w:name w:val="Подзаголовок + Авто"/>
    <w:qFormat/>
    <w:rPr>
      <w:b/>
      <w:sz w:val="26"/>
      <w:szCs w:val="26"/>
      <w:lang w:val="ru-RU" w:bidi="ar-SA"/>
    </w:rPr>
  </w:style>
  <w:style w:type="character" w:styleId="100" w:customStyle="1">
    <w:name w:val="Подзаголовок + Авто;Масштаб знаков: 100% Знак"/>
    <w:qFormat/>
    <w:rPr>
      <w:b/>
      <w:sz w:val="26"/>
      <w:szCs w:val="26"/>
      <w:lang w:val="ru-RU" w:bidi="ar-SA"/>
    </w:rPr>
  </w:style>
  <w:style w:type="character" w:styleId="3" w:customStyle="1">
    <w:name w:val="Основной текст 3 Знак"/>
    <w:qFormat/>
    <w:rPr>
      <w:color w:val="000000"/>
      <w:w w:val="93"/>
      <w:sz w:val="16"/>
      <w:szCs w:val="16"/>
      <w:lang w:val="ru-RU" w:bidi="ar-SA"/>
    </w:rPr>
  </w:style>
  <w:style w:type="character" w:styleId="Style13" w:customStyle="1">
    <w:name w:val="Основной текст Знак"/>
    <w:qFormat/>
    <w:rPr>
      <w:color w:val="FF0000"/>
      <w:sz w:val="28"/>
      <w:szCs w:val="28"/>
      <w:lang w:val="ru-RU" w:bidi="ar-SA"/>
    </w:rPr>
  </w:style>
  <w:style w:type="character" w:styleId="Style14" w:customStyle="1">
    <w:name w:val="Подзаголовок Знак Знак Знак Знак Знак Знак Знак Знак Знак Знак Знак Знак Знак Знак"/>
    <w:qFormat/>
    <w:rPr>
      <w:sz w:val="28"/>
      <w:szCs w:val="28"/>
      <w:lang w:val="ru-RU" w:bidi="ar-SA"/>
    </w:rPr>
  </w:style>
  <w:style w:type="character" w:styleId="Style15" w:customStyle="1">
    <w:name w:val="Подзаголовок Знак Знак Знак Знак Знак Знак Знак Знак"/>
    <w:qFormat/>
    <w:rPr>
      <w:sz w:val="28"/>
      <w:szCs w:val="28"/>
    </w:rPr>
  </w:style>
  <w:style w:type="character" w:styleId="Style16" w:customStyle="1">
    <w:name w:val="Верхний колонтитул Знак"/>
    <w:qFormat/>
    <w:rPr>
      <w:sz w:val="24"/>
      <w:szCs w:val="24"/>
    </w:rPr>
  </w:style>
  <w:style w:type="character" w:styleId="Style17" w:customStyle="1">
    <w:name w:val="Нижний колонтитул Знак"/>
    <w:qFormat/>
    <w:rPr>
      <w:sz w:val="24"/>
      <w:szCs w:val="24"/>
    </w:rPr>
  </w:style>
  <w:style w:type="character" w:styleId="Style18" w:customStyle="1">
    <w:name w:val="Основной текст с отступом Знак"/>
    <w:qFormat/>
    <w:rPr>
      <w:sz w:val="24"/>
      <w:szCs w:val="24"/>
    </w:rPr>
  </w:style>
  <w:style w:type="character" w:styleId="12" w:customStyle="1">
    <w:name w:val="Заголовок 1 Знак"/>
    <w:qFormat/>
    <w:rPr>
      <w:sz w:val="28"/>
      <w:szCs w:val="24"/>
    </w:rPr>
  </w:style>
  <w:style w:type="character" w:styleId="Style19" w:customStyle="1">
    <w:name w:val="Название Знак"/>
    <w:qFormat/>
    <w:rPr>
      <w:b/>
      <w:bCs/>
      <w:sz w:val="32"/>
      <w:szCs w:val="32"/>
    </w:rPr>
  </w:style>
  <w:style w:type="character" w:styleId="21" w:customStyle="1">
    <w:name w:val="Заголовок 2 Знак"/>
    <w:qFormat/>
    <w:rPr>
      <w:rFonts w:ascii="Cambria" w:hAnsi="Cambria" w:cs="Cambria"/>
      <w:b/>
      <w:bCs/>
      <w:i/>
      <w:iCs/>
      <w:sz w:val="28"/>
      <w:szCs w:val="28"/>
    </w:rPr>
  </w:style>
  <w:style w:type="character" w:styleId="FontStyle86" w:customStyle="1">
    <w:name w:val="Font Style86"/>
    <w:qFormat/>
    <w:rPr>
      <w:rFonts w:ascii="Arial" w:hAnsi="Arial" w:cs="Arial"/>
      <w:sz w:val="34"/>
      <w:szCs w:val="34"/>
    </w:rPr>
  </w:style>
  <w:style w:type="character" w:styleId="Style20">
    <w:name w:val="Выделение"/>
    <w:qFormat/>
    <w:rPr>
      <w:i/>
      <w:iCs/>
    </w:rPr>
  </w:style>
  <w:style w:type="character" w:styleId="ListLabel1">
    <w:name w:val="ListLabel 1"/>
    <w:qFormat/>
    <w:rPr>
      <w:rFonts w:cs="Symbol"/>
      <w:w w:val="100"/>
      <w:sz w:val="24"/>
      <w:szCs w:val="28"/>
    </w:rPr>
  </w:style>
  <w:style w:type="character" w:styleId="Style21">
    <w:name w:val="Текст выноски Знак"/>
    <w:qFormat/>
    <w:rPr>
      <w:rFonts w:ascii="Tahoma" w:hAnsi="Tahoma" w:cs="Tahoma"/>
      <w:sz w:val="16"/>
      <w:szCs w:val="16"/>
      <w:lang w:val="en-US" w:eastAsia="zh-CN"/>
    </w:rPr>
  </w:style>
  <w:style w:type="character" w:styleId="Style22">
    <w:name w:val="Номер страницы"/>
    <w:basedOn w:val="13"/>
    <w:rPr/>
  </w:style>
  <w:style w:type="character" w:styleId="13">
    <w:name w:val="Основной шрифт абзаца1"/>
    <w:qFormat/>
    <w:rPr/>
  </w:style>
  <w:style w:type="character" w:styleId="22">
    <w:name w:val="Основной шрифт абзаца2"/>
    <w:qFormat/>
    <w:rPr/>
  </w:style>
  <w:style w:type="character" w:styleId="31">
    <w:name w:val="Основной шрифт абзаца3"/>
    <w:qFormat/>
    <w:rPr/>
  </w:style>
  <w:style w:type="character" w:styleId="41">
    <w:name w:val="Основной шрифт абзаца4"/>
    <w:qFormat/>
    <w:rPr/>
  </w:style>
  <w:style w:type="character" w:styleId="51">
    <w:name w:val="Основной шрифт абзаца5"/>
    <w:qFormat/>
    <w:rPr/>
  </w:style>
  <w:style w:type="character" w:styleId="6">
    <w:name w:val="Основной шрифт абзаца6"/>
    <w:qFormat/>
    <w:rPr/>
  </w:style>
  <w:style w:type="character" w:styleId="7">
    <w:name w:val="Основной шрифт абзаца7"/>
    <w:qFormat/>
    <w:rPr/>
  </w:style>
  <w:style w:type="character" w:styleId="8">
    <w:name w:val="Основной шрифт абзаца8"/>
    <w:qFormat/>
    <w:rPr/>
  </w:style>
  <w:style w:type="character" w:styleId="9">
    <w:name w:val="Основной шрифт абзаца9"/>
    <w:qFormat/>
    <w:rPr/>
  </w:style>
  <w:style w:type="character" w:styleId="10">
    <w:name w:val="Основной шрифт абзаца1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111">
    <w:name w:val="Основной шрифт абзаца11"/>
    <w:qFormat/>
    <w:rPr/>
  </w:style>
  <w:style w:type="character" w:styleId="121">
    <w:name w:val="Основной шрифт абзаца12"/>
    <w:qFormat/>
    <w:rPr/>
  </w:style>
  <w:style w:type="character" w:styleId="Style23">
    <w:name w:val="Основной шрифт абзаца"/>
    <w:qFormat/>
    <w:rPr/>
  </w:style>
  <w:style w:type="paragraph" w:styleId="Style24" w:customStyle="1">
    <w:name w:val="Заголовок"/>
    <w:basedOn w:val="Normal"/>
    <w:next w:val="Style25"/>
    <w:qFormat/>
    <w:pPr>
      <w:jc w:val="center"/>
    </w:pPr>
    <w:rPr>
      <w:b/>
      <w:bCs/>
      <w:sz w:val="32"/>
      <w:szCs w:val="32"/>
    </w:rPr>
  </w:style>
  <w:style w:type="paragraph" w:styleId="Style25">
    <w:name w:val="Body Text"/>
    <w:basedOn w:val="Normal"/>
    <w:pPr>
      <w:tabs>
        <w:tab w:val="clear" w:pos="709"/>
        <w:tab w:val="left" w:pos="900" w:leader="none"/>
      </w:tabs>
      <w:jc w:val="both"/>
    </w:pPr>
    <w:rPr>
      <w:color w:val="FF0000"/>
      <w:sz w:val="28"/>
      <w:szCs w:val="28"/>
    </w:rPr>
  </w:style>
  <w:style w:type="paragraph" w:styleId="Style26">
    <w:name w:val="List"/>
    <w:basedOn w:val="Style25"/>
    <w:pPr/>
    <w:rPr>
      <w:rFonts w:cs="Ari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9">
    <w:name w:val="Subtitle"/>
    <w:basedOn w:val="Normal"/>
    <w:next w:val="Style25"/>
    <w:qFormat/>
    <w:pPr/>
    <w:rPr>
      <w:sz w:val="28"/>
      <w:szCs w:val="28"/>
    </w:rPr>
  </w:style>
  <w:style w:type="paragraph" w:styleId="13pt1" w:customStyle="1">
    <w:name w:val="Обычный + 13 pt"/>
    <w:basedOn w:val="Normal"/>
    <w:qFormat/>
    <w:pPr>
      <w:tabs>
        <w:tab w:val="clear" w:pos="709"/>
        <w:tab w:val="left" w:pos="900" w:leader="none"/>
      </w:tabs>
      <w:ind w:right="-81" w:firstLine="540"/>
      <w:jc w:val="both"/>
    </w:pPr>
    <w:rPr>
      <w:sz w:val="26"/>
      <w:szCs w:val="26"/>
    </w:rPr>
  </w:style>
  <w:style w:type="paragraph" w:styleId="Style30">
    <w:name w:val="Верхний и нижний колонтитулы"/>
    <w:basedOn w:val="Normal"/>
    <w:qFormat/>
    <w:pPr/>
    <w:rPr/>
  </w:style>
  <w:style w:type="paragraph" w:styleId="Style31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22" w:customStyle="1">
    <w:name w:val="Обычный + 12"/>
    <w:basedOn w:val="Normal"/>
    <w:qFormat/>
    <w:pPr>
      <w:ind w:right="-81" w:firstLine="540"/>
      <w:jc w:val="both"/>
    </w:pPr>
    <w:rPr>
      <w:sz w:val="25"/>
      <w:szCs w:val="25"/>
    </w:rPr>
  </w:style>
  <w:style w:type="paragraph" w:styleId="Style32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Style33" w:customStyle="1">
    <w:name w:val="Подзаголовок + Авто"/>
    <w:basedOn w:val="Normal"/>
    <w:qFormat/>
    <w:pPr>
      <w:ind w:firstLine="540"/>
      <w:jc w:val="both"/>
    </w:pPr>
    <w:rPr>
      <w:b/>
      <w:sz w:val="26"/>
      <w:szCs w:val="26"/>
    </w:rPr>
  </w:style>
  <w:style w:type="paragraph" w:styleId="14" w:customStyle="1">
    <w:name w:val="14 см"/>
    <w:basedOn w:val="Normal"/>
    <w:qFormat/>
    <w:pPr>
      <w:tabs>
        <w:tab w:val="clear" w:pos="709"/>
        <w:tab w:val="left" w:pos="3780" w:leader="none"/>
      </w:tabs>
      <w:ind w:left="3780" w:right="-81" w:hanging="360"/>
      <w:jc w:val="both"/>
    </w:pPr>
    <w:rPr>
      <w:sz w:val="26"/>
      <w:szCs w:val="26"/>
    </w:rPr>
  </w:style>
  <w:style w:type="paragraph" w:styleId="141" w:customStyle="1">
    <w:name w:val="14 см Знак"/>
    <w:basedOn w:val="Normal"/>
    <w:qFormat/>
    <w:pPr>
      <w:tabs>
        <w:tab w:val="clear" w:pos="709"/>
        <w:tab w:val="left" w:pos="360" w:leader="none"/>
        <w:tab w:val="left" w:pos="900" w:leader="none"/>
      </w:tabs>
      <w:ind w:right="-81" w:firstLine="540"/>
      <w:jc w:val="both"/>
    </w:pPr>
    <w:rPr>
      <w:sz w:val="26"/>
      <w:szCs w:val="26"/>
    </w:rPr>
  </w:style>
  <w:style w:type="paragraph" w:styleId="BodyText3">
    <w:name w:val="Body Text 3"/>
    <w:basedOn w:val="Normal"/>
    <w:qFormat/>
    <w:pPr>
      <w:spacing w:before="0" w:after="120"/>
    </w:pPr>
    <w:rPr>
      <w:color w:val="000000"/>
      <w:w w:val="93"/>
      <w:sz w:val="16"/>
      <w:szCs w:val="16"/>
    </w:rPr>
  </w:style>
  <w:style w:type="paragraph" w:styleId="Newncpi" w:customStyle="1">
    <w:name w:val="newncpi"/>
    <w:basedOn w:val="Normal"/>
    <w:qFormat/>
    <w:pPr>
      <w:ind w:firstLine="567"/>
      <w:jc w:val="both"/>
    </w:pPr>
    <w:rPr/>
  </w:style>
  <w:style w:type="paragraph" w:styleId="Newncpi0" w:customStyle="1">
    <w:name w:val="newncpi0"/>
    <w:basedOn w:val="Normal"/>
    <w:qFormat/>
    <w:pPr>
      <w:jc w:val="both"/>
    </w:pPr>
    <w:rPr/>
  </w:style>
  <w:style w:type="paragraph" w:styleId="Point" w:customStyle="1">
    <w:name w:val="point"/>
    <w:basedOn w:val="Normal"/>
    <w:qFormat/>
    <w:pPr>
      <w:ind w:firstLine="567"/>
      <w:jc w:val="both"/>
    </w:pPr>
    <w:rPr/>
  </w:style>
  <w:style w:type="paragraph" w:styleId="Undline" w:customStyle="1">
    <w:name w:val="undline"/>
    <w:basedOn w:val="Normal"/>
    <w:qFormat/>
    <w:pPr>
      <w:jc w:val="both"/>
    </w:pPr>
    <w:rPr>
      <w:sz w:val="20"/>
      <w:szCs w:val="20"/>
    </w:rPr>
  </w:style>
  <w:style w:type="paragraph" w:styleId="Table10" w:customStyle="1">
    <w:name w:val="table10"/>
    <w:basedOn w:val="Normal"/>
    <w:qFormat/>
    <w:pPr/>
    <w:rPr>
      <w:sz w:val="20"/>
      <w:szCs w:val="20"/>
    </w:rPr>
  </w:style>
  <w:style w:type="paragraph" w:styleId="Snoskiline" w:customStyle="1">
    <w:name w:val="snoskiline"/>
    <w:basedOn w:val="Normal"/>
    <w:qFormat/>
    <w:pPr>
      <w:jc w:val="both"/>
    </w:pPr>
    <w:rPr>
      <w:sz w:val="20"/>
      <w:szCs w:val="20"/>
    </w:rPr>
  </w:style>
  <w:style w:type="paragraph" w:styleId="Snoski" w:customStyle="1">
    <w:name w:val="snoski"/>
    <w:basedOn w:val="Normal"/>
    <w:qFormat/>
    <w:pPr>
      <w:ind w:firstLine="567"/>
      <w:jc w:val="both"/>
    </w:pPr>
    <w:rPr>
      <w:sz w:val="20"/>
      <w:szCs w:val="20"/>
    </w:rPr>
  </w:style>
  <w:style w:type="paragraph" w:styleId="Underpoint" w:customStyle="1">
    <w:name w:val="underpoint"/>
    <w:basedOn w:val="Normal"/>
    <w:qFormat/>
    <w:pPr>
      <w:ind w:firstLine="567"/>
      <w:jc w:val="both"/>
    </w:pPr>
    <w:rPr/>
  </w:style>
  <w:style w:type="paragraph" w:styleId="Zagrazdel" w:customStyle="1">
    <w:name w:val="zagrazdel"/>
    <w:basedOn w:val="Normal"/>
    <w:qFormat/>
    <w:pPr>
      <w:spacing w:before="240" w:after="240"/>
      <w:jc w:val="center"/>
    </w:pPr>
    <w:rPr>
      <w:caps/>
    </w:rPr>
  </w:style>
  <w:style w:type="paragraph" w:styleId="Numheader" w:customStyle="1">
    <w:name w:val="numheader"/>
    <w:basedOn w:val="Normal"/>
    <w:qFormat/>
    <w:pPr>
      <w:spacing w:before="240" w:after="240"/>
      <w:jc w:val="center"/>
    </w:pPr>
    <w:rPr>
      <w:b/>
      <w:bCs/>
    </w:rPr>
  </w:style>
  <w:style w:type="paragraph" w:styleId="NormalWeb">
    <w:name w:val="Normal (Web)"/>
    <w:basedOn w:val="Normal"/>
    <w:qFormat/>
    <w:pPr>
      <w:ind w:firstLine="567"/>
    </w:pPr>
    <w:rPr/>
  </w:style>
  <w:style w:type="paragraph" w:styleId="15">
    <w:name w:val="TOC 1"/>
    <w:basedOn w:val="Normal"/>
    <w:next w:val="Normal"/>
    <w:pPr>
      <w:tabs>
        <w:tab w:val="clear" w:pos="709"/>
        <w:tab w:val="right" w:pos="9488" w:leader="dot"/>
      </w:tabs>
    </w:pPr>
    <w:rPr>
      <w:b/>
      <w:bCs/>
      <w:caps/>
      <w:sz w:val="32"/>
      <w:szCs w:val="32"/>
      <w:lang w:eastAsia="ru-RU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cs="Calibri"/>
      <w:sz w:val="22"/>
      <w:szCs w:val="22"/>
    </w:rPr>
  </w:style>
  <w:style w:type="paragraph" w:styleId="ConsPlusNormal" w:customStyle="1">
    <w:name w:val="ConsPlus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zh-CN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16" w:customStyle="1">
    <w:name w:val="Абзац списка1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cs="Calibri"/>
      <w:sz w:val="22"/>
      <w:szCs w:val="22"/>
    </w:rPr>
  </w:style>
  <w:style w:type="paragraph" w:styleId="Style34">
    <w:name w:val="Body Text Indent"/>
    <w:basedOn w:val="Normal"/>
    <w:pPr>
      <w:spacing w:before="0" w:after="120"/>
      <w:ind w:left="283" w:hanging="0"/>
    </w:pPr>
    <w:rPr/>
  </w:style>
  <w:style w:type="paragraph" w:styleId="Justify" w:customStyle="1">
    <w:name w:val="justify"/>
    <w:basedOn w:val="Normal"/>
    <w:qFormat/>
    <w:pPr>
      <w:ind w:firstLine="567"/>
      <w:jc w:val="both"/>
    </w:pPr>
    <w:rPr/>
  </w:style>
  <w:style w:type="paragraph" w:styleId="A0justify" w:customStyle="1">
    <w:name w:val="a0-justify"/>
    <w:basedOn w:val="Normal"/>
    <w:qFormat/>
    <w:pPr>
      <w:jc w:val="both"/>
    </w:pPr>
    <w:rPr/>
  </w:style>
  <w:style w:type="paragraph" w:styleId="A0" w:customStyle="1">
    <w:name w:val="a0"/>
    <w:basedOn w:val="Normal"/>
    <w:qFormat/>
    <w:pPr/>
    <w:rPr/>
  </w:style>
  <w:style w:type="paragraph" w:styleId="Y3" w:customStyle="1">
    <w:name w:val="y3"/>
    <w:basedOn w:val="Normal"/>
    <w:qFormat/>
    <w:pPr>
      <w:spacing w:before="200" w:after="200"/>
      <w:jc w:val="center"/>
    </w:pPr>
    <w:rPr/>
  </w:style>
  <w:style w:type="paragraph" w:styleId="32" w:customStyle="1">
    <w:name w:val="Подзаголовок 3"/>
    <w:basedOn w:val="Normal"/>
    <w:qFormat/>
    <w:pPr>
      <w:spacing w:before="0" w:after="170"/>
      <w:jc w:val="center"/>
    </w:pPr>
    <w:rPr>
      <w:rFonts w:ascii="QuantAntiqua;Arial Narrow" w:hAnsi="QuantAntiqua;Arial Narrow" w:cs="QuantAntiqua;Arial Narrow"/>
      <w:b/>
      <w:caps/>
      <w:sz w:val="22"/>
      <w:szCs w:val="20"/>
    </w:rPr>
  </w:style>
  <w:style w:type="paragraph" w:styleId="Style35" w:customStyle="1">
    <w:name w:val="Содержимое таблицы"/>
    <w:basedOn w:val="Normal"/>
    <w:qFormat/>
    <w:pPr>
      <w:suppressLineNumbers/>
    </w:pPr>
    <w:rPr/>
  </w:style>
  <w:style w:type="paragraph" w:styleId="Style36" w:customStyle="1">
    <w:name w:val="Заголовок таблицы"/>
    <w:basedOn w:val="Style35"/>
    <w:qFormat/>
    <w:pPr>
      <w:jc w:val="center"/>
    </w:pPr>
    <w:rPr>
      <w:b/>
      <w:bCs/>
    </w:rPr>
  </w:style>
  <w:style w:type="paragraph" w:styleId="Style37" w:customStyle="1">
    <w:name w:val="Содержимое врезки"/>
    <w:basedOn w:val="Normal"/>
    <w:qFormat/>
    <w:pPr/>
    <w:rPr/>
  </w:style>
  <w:style w:type="paragraph" w:styleId="Style38">
    <w:name w:val="Верхний колонтитул слева"/>
    <w:basedOn w:val="Normal"/>
    <w:qFormat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9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17">
    <w:name w:val="Указатель1"/>
    <w:basedOn w:val="Normal"/>
    <w:qFormat/>
    <w:pPr>
      <w:suppressLineNumbers/>
    </w:pPr>
    <w:rPr>
      <w:rFonts w:cs="Mangal"/>
    </w:rPr>
  </w:style>
  <w:style w:type="paragraph" w:styleId="18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3">
    <w:name w:val="Указатель2"/>
    <w:basedOn w:val="Normal"/>
    <w:qFormat/>
    <w:pPr>
      <w:suppressLineNumbers/>
    </w:pPr>
    <w:rPr>
      <w:rFonts w:cs="Mangal"/>
    </w:rPr>
  </w:style>
  <w:style w:type="paragraph" w:styleId="24">
    <w:name w:val="Название объекта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3">
    <w:name w:val="Указатель3"/>
    <w:basedOn w:val="Normal"/>
    <w:qFormat/>
    <w:pPr>
      <w:suppressLineNumbers/>
    </w:pPr>
    <w:rPr>
      <w:rFonts w:cs="Mangal"/>
    </w:rPr>
  </w:style>
  <w:style w:type="paragraph" w:styleId="34">
    <w:name w:val="Название объекта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42">
    <w:name w:val="Указатель4"/>
    <w:basedOn w:val="Normal"/>
    <w:qFormat/>
    <w:pPr>
      <w:suppressLineNumbers/>
    </w:pPr>
    <w:rPr>
      <w:rFonts w:cs="Mangal"/>
    </w:rPr>
  </w:style>
  <w:style w:type="paragraph" w:styleId="43">
    <w:name w:val="Название объекта4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52">
    <w:name w:val="Указатель5"/>
    <w:basedOn w:val="Normal"/>
    <w:qFormat/>
    <w:pPr>
      <w:suppressLineNumbers/>
    </w:pPr>
    <w:rPr>
      <w:rFonts w:cs="Mangal"/>
    </w:rPr>
  </w:style>
  <w:style w:type="paragraph" w:styleId="53">
    <w:name w:val="Название объекта5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61">
    <w:name w:val="Указатель6"/>
    <w:basedOn w:val="Normal"/>
    <w:qFormat/>
    <w:pPr>
      <w:suppressLineNumbers/>
    </w:pPr>
    <w:rPr>
      <w:rFonts w:cs="Mangal"/>
    </w:rPr>
  </w:style>
  <w:style w:type="paragraph" w:styleId="62">
    <w:name w:val="Название объекта6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71">
    <w:name w:val="Указатель7"/>
    <w:basedOn w:val="Normal"/>
    <w:qFormat/>
    <w:pPr>
      <w:suppressLineNumbers/>
    </w:pPr>
    <w:rPr>
      <w:rFonts w:cs="Mangal"/>
    </w:rPr>
  </w:style>
  <w:style w:type="paragraph" w:styleId="72">
    <w:name w:val="Название объекта7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81">
    <w:name w:val="Указатель8"/>
    <w:basedOn w:val="Normal"/>
    <w:qFormat/>
    <w:pPr>
      <w:suppressLineNumbers/>
    </w:pPr>
    <w:rPr>
      <w:rFonts w:cs="Mangal"/>
    </w:rPr>
  </w:style>
  <w:style w:type="paragraph" w:styleId="82">
    <w:name w:val="Название объекта8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91">
    <w:name w:val="Указатель9"/>
    <w:basedOn w:val="Normal"/>
    <w:qFormat/>
    <w:pPr>
      <w:suppressLineNumbers/>
    </w:pPr>
    <w:rPr>
      <w:rFonts w:cs="Mangal"/>
    </w:rPr>
  </w:style>
  <w:style w:type="paragraph" w:styleId="92">
    <w:name w:val="Название объекта9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01">
    <w:name w:val="Указатель10"/>
    <w:basedOn w:val="Normal"/>
    <w:qFormat/>
    <w:pPr>
      <w:suppressLineNumbers/>
    </w:pPr>
    <w:rPr>
      <w:rFonts w:cs="Arial"/>
    </w:rPr>
  </w:style>
  <w:style w:type="paragraph" w:styleId="102">
    <w:name w:val="Название объекта10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2">
    <w:name w:val="Указатель11"/>
    <w:basedOn w:val="Normal"/>
    <w:qFormat/>
    <w:pPr>
      <w:suppressLineNumbers/>
    </w:pPr>
    <w:rPr>
      <w:rFonts w:cs="Arial"/>
    </w:rPr>
  </w:style>
  <w:style w:type="paragraph" w:styleId="113">
    <w:name w:val="Название объекта1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3">
    <w:name w:val="Указатель12"/>
    <w:basedOn w:val="Normal"/>
    <w:qFormat/>
    <w:pPr>
      <w:suppressLineNumbers/>
    </w:pPr>
    <w:rPr>
      <w:rFonts w:cs="Arial"/>
    </w:rPr>
  </w:style>
  <w:style w:type="paragraph" w:styleId="Style40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18B6C-8C0E-4552-97AD-22249BE7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5516</TotalTime>
  <Application>LibreOffice/6.1.3.2$Windows_X86_64 LibreOffice_project/86daf60bf00efa86ad547e59e09d6bb77c699acb</Application>
  <Pages>7</Pages>
  <Words>2869</Words>
  <Characters>21034</Characters>
  <CharactersWithSpaces>23790</CharactersWithSpaces>
  <Paragraphs>184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2018-03-22T12:11:00Z</dcterms:created>
  <dc:creator>Dina</dc:creator>
  <dc:description/>
  <dc:language>ru-RU</dc:language>
  <cp:lastModifiedBy/>
  <dcterms:modified xsi:type="dcterms:W3CDTF">2022-08-01T11:25:40Z</dcterms:modified>
  <cp:revision>122</cp:revision>
  <dc:subject/>
  <dc:title>КОНКУРСНЫЕ ДОКУМЕНТЫ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  <property fmtid="{D5CDD505-2E9C-101B-9397-08002B2CF9AE}" pid="7" name="_DocHome">
    <vt:i4>2123024927</vt:i4>
  </property>
</Properties>
</file>